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C7" w:rsidRPr="00315BC7" w:rsidRDefault="00315BC7" w:rsidP="00315BC7">
      <w:pPr>
        <w:pStyle w:val="Style96"/>
        <w:widowControl/>
        <w:spacing w:before="100" w:beforeAutospacing="1"/>
        <w:rPr>
          <w:rStyle w:val="FontStyle153"/>
          <w:rFonts w:ascii="Cambria" w:hAnsi="Cambria"/>
          <w:b w:val="0"/>
          <w:sz w:val="24"/>
          <w:szCs w:val="24"/>
        </w:rPr>
      </w:pPr>
      <w:r>
        <w:rPr>
          <w:rStyle w:val="FontStyle153"/>
          <w:sz w:val="22"/>
          <w:szCs w:val="22"/>
        </w:rPr>
        <w:tab/>
      </w:r>
      <w:r>
        <w:rPr>
          <w:rStyle w:val="FontStyle153"/>
          <w:sz w:val="22"/>
          <w:szCs w:val="22"/>
        </w:rPr>
        <w:tab/>
      </w:r>
      <w:r>
        <w:rPr>
          <w:rStyle w:val="FontStyle153"/>
          <w:sz w:val="22"/>
          <w:szCs w:val="22"/>
        </w:rPr>
        <w:tab/>
      </w:r>
      <w:r>
        <w:rPr>
          <w:rStyle w:val="FontStyle153"/>
          <w:sz w:val="22"/>
          <w:szCs w:val="22"/>
        </w:rPr>
        <w:tab/>
      </w:r>
      <w:r>
        <w:rPr>
          <w:rStyle w:val="FontStyle153"/>
          <w:sz w:val="22"/>
          <w:szCs w:val="22"/>
        </w:rPr>
        <w:tab/>
      </w:r>
      <w:r>
        <w:rPr>
          <w:rStyle w:val="FontStyle153"/>
          <w:sz w:val="22"/>
          <w:szCs w:val="22"/>
        </w:rPr>
        <w:tab/>
      </w:r>
      <w:r>
        <w:rPr>
          <w:rStyle w:val="FontStyle153"/>
          <w:sz w:val="22"/>
          <w:szCs w:val="22"/>
        </w:rPr>
        <w:tab/>
      </w:r>
      <w:r>
        <w:rPr>
          <w:rStyle w:val="FontStyle153"/>
          <w:sz w:val="22"/>
          <w:szCs w:val="22"/>
        </w:rPr>
        <w:tab/>
      </w:r>
      <w:r>
        <w:rPr>
          <w:rStyle w:val="FontStyle153"/>
          <w:sz w:val="22"/>
          <w:szCs w:val="22"/>
        </w:rPr>
        <w:tab/>
      </w:r>
      <w:r>
        <w:rPr>
          <w:rStyle w:val="FontStyle153"/>
          <w:sz w:val="22"/>
          <w:szCs w:val="22"/>
        </w:rPr>
        <w:tab/>
      </w:r>
      <w:r w:rsidRPr="00315BC7">
        <w:rPr>
          <w:rStyle w:val="FontStyle114"/>
          <w:b w:val="0"/>
          <w:sz w:val="24"/>
          <w:szCs w:val="24"/>
        </w:rPr>
        <w:t>Приложение № 1</w:t>
      </w:r>
    </w:p>
    <w:p w:rsidR="003342AD" w:rsidRPr="00954628" w:rsidRDefault="003342AD" w:rsidP="00E041AE">
      <w:pPr>
        <w:pStyle w:val="Style96"/>
        <w:widowControl/>
        <w:spacing w:before="5"/>
        <w:rPr>
          <w:rStyle w:val="FontStyle153"/>
          <w:sz w:val="22"/>
          <w:szCs w:val="22"/>
        </w:rPr>
      </w:pPr>
      <w:r w:rsidRPr="00954628">
        <w:rPr>
          <w:rStyle w:val="FontStyle153"/>
          <w:sz w:val="22"/>
          <w:szCs w:val="22"/>
        </w:rPr>
        <w:t>УТВЪРДИЛ:</w:t>
      </w:r>
    </w:p>
    <w:p w:rsidR="007E121E" w:rsidRPr="00954628" w:rsidRDefault="007E121E" w:rsidP="00E041AE">
      <w:pPr>
        <w:pStyle w:val="Style96"/>
        <w:widowControl/>
        <w:spacing w:before="5"/>
        <w:rPr>
          <w:rStyle w:val="FontStyle153"/>
          <w:sz w:val="22"/>
          <w:szCs w:val="22"/>
        </w:rPr>
      </w:pPr>
      <w:bookmarkStart w:id="0" w:name="_GoBack"/>
      <w:bookmarkEnd w:id="0"/>
    </w:p>
    <w:p w:rsidR="003D486D" w:rsidRPr="00954628" w:rsidRDefault="003D486D" w:rsidP="00E041AE">
      <w:pPr>
        <w:pStyle w:val="Style96"/>
        <w:widowControl/>
        <w:spacing w:before="5"/>
        <w:ind w:left="2340"/>
        <w:rPr>
          <w:rStyle w:val="FontStyle153"/>
          <w:b w:val="0"/>
          <w:spacing w:val="0"/>
          <w:sz w:val="22"/>
          <w:szCs w:val="22"/>
        </w:rPr>
      </w:pPr>
      <w:r w:rsidRPr="00954628">
        <w:rPr>
          <w:rStyle w:val="FontStyle153"/>
          <w:b w:val="0"/>
          <w:spacing w:val="0"/>
          <w:sz w:val="22"/>
          <w:szCs w:val="22"/>
        </w:rPr>
        <w:t>(Мартин Банков, директор на дирекция ИКС)</w:t>
      </w:r>
    </w:p>
    <w:p w:rsidR="003D486D" w:rsidRPr="00954628" w:rsidRDefault="003D486D" w:rsidP="00E041AE">
      <w:pPr>
        <w:pStyle w:val="Style96"/>
        <w:widowControl/>
        <w:spacing w:before="5"/>
        <w:jc w:val="center"/>
        <w:rPr>
          <w:rStyle w:val="FontStyle153"/>
          <w:sz w:val="22"/>
          <w:szCs w:val="22"/>
        </w:rPr>
      </w:pPr>
    </w:p>
    <w:p w:rsidR="003D486D" w:rsidRDefault="003D486D" w:rsidP="00E041AE">
      <w:pPr>
        <w:pStyle w:val="Style96"/>
        <w:widowControl/>
        <w:spacing w:before="5"/>
        <w:jc w:val="center"/>
        <w:rPr>
          <w:rStyle w:val="FontStyle153"/>
          <w:sz w:val="22"/>
          <w:szCs w:val="22"/>
        </w:rPr>
      </w:pPr>
    </w:p>
    <w:p w:rsidR="00154E44" w:rsidRPr="00954628" w:rsidRDefault="00154E44" w:rsidP="00E041AE">
      <w:pPr>
        <w:pStyle w:val="Style96"/>
        <w:widowControl/>
        <w:spacing w:before="5"/>
        <w:jc w:val="center"/>
        <w:rPr>
          <w:rStyle w:val="FontStyle153"/>
          <w:sz w:val="22"/>
          <w:szCs w:val="22"/>
        </w:rPr>
      </w:pPr>
    </w:p>
    <w:p w:rsidR="003342AD" w:rsidRPr="00954628" w:rsidRDefault="003342AD" w:rsidP="00E041AE">
      <w:pPr>
        <w:pStyle w:val="Style96"/>
        <w:widowControl/>
        <w:spacing w:before="5"/>
        <w:jc w:val="center"/>
        <w:rPr>
          <w:rStyle w:val="FontStyle153"/>
          <w:sz w:val="22"/>
          <w:szCs w:val="22"/>
        </w:rPr>
      </w:pPr>
      <w:r w:rsidRPr="00954628">
        <w:rPr>
          <w:rStyle w:val="FontStyle153"/>
          <w:sz w:val="22"/>
          <w:szCs w:val="22"/>
        </w:rPr>
        <w:t>ЗАДАНИЕ</w:t>
      </w:r>
    </w:p>
    <w:p w:rsidR="003342AD" w:rsidRPr="00954628" w:rsidRDefault="003342AD" w:rsidP="00E041AE">
      <w:pPr>
        <w:pStyle w:val="Style6"/>
        <w:widowControl/>
        <w:spacing w:before="221" w:line="240" w:lineRule="auto"/>
        <w:ind w:left="2080"/>
        <w:jc w:val="both"/>
        <w:rPr>
          <w:rStyle w:val="FontStyle114"/>
        </w:rPr>
      </w:pPr>
      <w:r w:rsidRPr="00954628">
        <w:rPr>
          <w:rStyle w:val="FontStyle114"/>
        </w:rPr>
        <w:t>с условията за възлагане на обществена поръчка</w:t>
      </w:r>
    </w:p>
    <w:p w:rsidR="003342AD" w:rsidRPr="00954628" w:rsidRDefault="003342AD" w:rsidP="00E041AE">
      <w:pPr>
        <w:pStyle w:val="Style71"/>
        <w:widowControl/>
        <w:spacing w:line="240" w:lineRule="auto"/>
        <w:rPr>
          <w:sz w:val="22"/>
          <w:szCs w:val="22"/>
        </w:rPr>
      </w:pPr>
    </w:p>
    <w:p w:rsidR="005D7180" w:rsidRPr="00954628" w:rsidRDefault="003342AD" w:rsidP="00E041AE">
      <w:pPr>
        <w:pStyle w:val="Style71"/>
        <w:widowControl/>
        <w:spacing w:before="66"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t xml:space="preserve">1. </w:t>
      </w:r>
      <w:r w:rsidR="005D7180" w:rsidRPr="00954628">
        <w:rPr>
          <w:rStyle w:val="FontStyle154"/>
          <w:sz w:val="22"/>
          <w:szCs w:val="22"/>
        </w:rPr>
        <w:t>Наименование на предмета на поръчката</w:t>
      </w:r>
      <w:r w:rsidR="00B07175" w:rsidRPr="00954628">
        <w:rPr>
          <w:rStyle w:val="FontStyle154"/>
          <w:sz w:val="22"/>
          <w:szCs w:val="22"/>
        </w:rPr>
        <w:t>:</w:t>
      </w:r>
      <w:r w:rsidR="005D7180" w:rsidRPr="00954628">
        <w:rPr>
          <w:rStyle w:val="FontStyle154"/>
          <w:sz w:val="22"/>
          <w:szCs w:val="22"/>
        </w:rPr>
        <w:t xml:space="preserve"> </w:t>
      </w:r>
      <w:r w:rsidR="004E7F7B">
        <w:rPr>
          <w:sz w:val="22"/>
          <w:szCs w:val="22"/>
        </w:rPr>
        <w:t>О</w:t>
      </w:r>
      <w:r w:rsidR="00B07175" w:rsidRPr="00954628">
        <w:rPr>
          <w:sz w:val="22"/>
          <w:szCs w:val="22"/>
        </w:rPr>
        <w:t>сигуряване на достъп до интернет и на решение за спиране на DDoS (Distributed Denial of Service) атаки към мрежата</w:t>
      </w:r>
      <w:r w:rsidR="00B07175" w:rsidRPr="00954628">
        <w:rPr>
          <w:b/>
          <w:sz w:val="22"/>
          <w:szCs w:val="22"/>
        </w:rPr>
        <w:t xml:space="preserve"> </w:t>
      </w:r>
      <w:r w:rsidR="00B07175" w:rsidRPr="00954628">
        <w:rPr>
          <w:sz w:val="22"/>
          <w:szCs w:val="22"/>
        </w:rPr>
        <w:t xml:space="preserve">на </w:t>
      </w:r>
      <w:r w:rsidR="00272DEC" w:rsidRPr="00954628">
        <w:rPr>
          <w:sz w:val="22"/>
          <w:szCs w:val="22"/>
        </w:rPr>
        <w:t>Министерство на външните работи</w:t>
      </w:r>
      <w:r w:rsidR="00272DEC" w:rsidRPr="00954628">
        <w:rPr>
          <w:rStyle w:val="FontStyle154"/>
          <w:b w:val="0"/>
          <w:sz w:val="22"/>
          <w:szCs w:val="22"/>
        </w:rPr>
        <w:t>.</w:t>
      </w:r>
    </w:p>
    <w:p w:rsidR="003342AD" w:rsidRPr="00954628" w:rsidRDefault="005D7180" w:rsidP="00232BBD">
      <w:pPr>
        <w:pStyle w:val="Style71"/>
        <w:widowControl/>
        <w:spacing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t>2.</w:t>
      </w:r>
      <w:r w:rsidR="003342AD" w:rsidRPr="00954628">
        <w:rPr>
          <w:rStyle w:val="FontStyle154"/>
          <w:sz w:val="22"/>
          <w:szCs w:val="22"/>
        </w:rPr>
        <w:t>Пълно описание на предмета на поръчката, включително на обособените позиции, ако има такива</w:t>
      </w:r>
      <w:r w:rsidR="003D58A6" w:rsidRPr="00954628">
        <w:rPr>
          <w:rStyle w:val="FontStyle154"/>
          <w:sz w:val="22"/>
          <w:szCs w:val="22"/>
        </w:rPr>
        <w:t>, наименование на поръчката</w:t>
      </w:r>
      <w:r w:rsidR="003342AD" w:rsidRPr="00954628">
        <w:rPr>
          <w:rStyle w:val="FontStyle154"/>
          <w:sz w:val="22"/>
          <w:szCs w:val="22"/>
        </w:rPr>
        <w:t>:</w:t>
      </w:r>
    </w:p>
    <w:p w:rsidR="00232BBD" w:rsidRPr="00954628" w:rsidRDefault="00232BBD" w:rsidP="00232B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490"/>
        <w:jc w:val="both"/>
        <w:rPr>
          <w:rFonts w:ascii="Times New Roman" w:eastAsia="Arial" w:hAnsi="Times New Roman" w:cs="Times New Roman"/>
          <w:lang w:eastAsia="bg-BG"/>
        </w:rPr>
      </w:pPr>
      <w:r w:rsidRPr="00954628">
        <w:rPr>
          <w:rFonts w:ascii="Times New Roman" w:eastAsia="Arial" w:hAnsi="Times New Roman" w:cs="Times New Roman"/>
          <w:lang w:eastAsia="bg-BG"/>
        </w:rPr>
        <w:t xml:space="preserve">Настоящата поръчка има за цел да осигури Изпълнител на услуги по </w:t>
      </w:r>
      <w:r w:rsidR="00DC704C" w:rsidRPr="00954628">
        <w:rPr>
          <w:rFonts w:ascii="Times New Roman" w:eastAsia="Arial" w:hAnsi="Times New Roman" w:cs="Times New Roman"/>
          <w:lang w:eastAsia="bg-BG"/>
        </w:rPr>
        <w:t>предоставяне</w:t>
      </w:r>
      <w:r w:rsidRPr="00954628">
        <w:rPr>
          <w:rFonts w:ascii="Times New Roman" w:eastAsia="Arial" w:hAnsi="Times New Roman" w:cs="Times New Roman"/>
          <w:lang w:eastAsia="bg-BG"/>
        </w:rPr>
        <w:t xml:space="preserve"> на достъп до интернет и на решение за спиране на DDoS (Distributed Denial of Service) атаки към мрежата на Министерство на външните работи</w:t>
      </w:r>
      <w:r w:rsidR="00DC704C" w:rsidRPr="00954628">
        <w:rPr>
          <w:rFonts w:ascii="Times New Roman" w:eastAsia="Arial" w:hAnsi="Times New Roman" w:cs="Times New Roman"/>
          <w:lang w:eastAsia="bg-BG"/>
        </w:rPr>
        <w:t xml:space="preserve"> (МВнР)</w:t>
      </w:r>
      <w:r w:rsidRPr="00954628">
        <w:rPr>
          <w:rFonts w:ascii="Times New Roman" w:eastAsia="Arial" w:hAnsi="Times New Roman" w:cs="Times New Roman"/>
          <w:lang w:eastAsia="bg-BG"/>
        </w:rPr>
        <w:t>.</w:t>
      </w:r>
      <w:r w:rsidR="00DC704C" w:rsidRPr="00954628">
        <w:rPr>
          <w:rFonts w:ascii="Times New Roman" w:eastAsia="Arial" w:hAnsi="Times New Roman" w:cs="Times New Roman"/>
          <w:lang w:eastAsia="bg-BG"/>
        </w:rPr>
        <w:t xml:space="preserve"> </w:t>
      </w:r>
    </w:p>
    <w:p w:rsidR="00880E32" w:rsidRPr="00954628" w:rsidRDefault="00665BCF" w:rsidP="00232B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490"/>
        <w:jc w:val="both"/>
        <w:rPr>
          <w:rFonts w:ascii="Times New Roman" w:eastAsia="Arial" w:hAnsi="Times New Roman" w:cs="Times New Roman"/>
          <w:lang w:eastAsia="bg-BG"/>
        </w:rPr>
      </w:pPr>
      <w:r w:rsidRPr="00954628">
        <w:rPr>
          <w:rFonts w:ascii="Times New Roman" w:eastAsia="Arial" w:hAnsi="Times New Roman" w:cs="Times New Roman"/>
          <w:lang w:eastAsia="bg-BG"/>
        </w:rPr>
        <w:t xml:space="preserve">Достъпът до интернет на Министерство на външните работи трябва да се осъществява по гарантиран и несподелен с други клиенти канал за достъп с капацитет от </w:t>
      </w:r>
      <w:r w:rsidR="00D94970">
        <w:rPr>
          <w:rFonts w:ascii="Times New Roman" w:eastAsia="Arial" w:hAnsi="Times New Roman" w:cs="Times New Roman"/>
          <w:lang w:eastAsia="bg-BG"/>
        </w:rPr>
        <w:t xml:space="preserve">минимум </w:t>
      </w:r>
      <w:r w:rsidRPr="00954628">
        <w:rPr>
          <w:rFonts w:ascii="Times New Roman" w:eastAsia="Arial" w:hAnsi="Times New Roman" w:cs="Times New Roman"/>
          <w:lang w:eastAsia="bg-BG"/>
        </w:rPr>
        <w:t xml:space="preserve">1,5 Gbps, без ограничения по трафик и съотношение на трафика IN : OUT = 1:1. Доставката на услуга до обекта на Възложителя трябва да се извършва през подземна кабелна мрежа по оптична линия през две независими оптични трасета. По вътрешните и външните трасета трябва да се поддържа динамична маршрутизация – Border Gateway protocol 4  (BGP4). Трябва да е предоставена възможност за наблюдение на горепосочените връзки с възможност за ping, traceroute, BGP summary или др. Услугата трябва да е с висока степен на надеждност (непрекъсваемост/uptime на услугата – </w:t>
      </w:r>
      <w:r w:rsidR="00B75771">
        <w:rPr>
          <w:rFonts w:ascii="Times New Roman" w:eastAsia="Arial" w:hAnsi="Times New Roman" w:cs="Times New Roman"/>
          <w:lang w:eastAsia="bg-BG"/>
        </w:rPr>
        <w:t xml:space="preserve">минимум </w:t>
      </w:r>
      <w:r w:rsidRPr="00954628">
        <w:rPr>
          <w:rFonts w:ascii="Times New Roman" w:eastAsia="Arial" w:hAnsi="Times New Roman" w:cs="Times New Roman"/>
          <w:lang w:eastAsia="bg-BG"/>
        </w:rPr>
        <w:t>99,5% на месечна база; осигурен Център за управление на предоставяните услуги в реално време, работещ в режим 24х7</w:t>
      </w:r>
      <w:r w:rsidR="00232BBD" w:rsidRPr="00954628">
        <w:rPr>
          <w:rFonts w:ascii="Times New Roman" w:eastAsia="Arial" w:hAnsi="Times New Roman" w:cs="Times New Roman"/>
          <w:lang w:eastAsia="bg-BG"/>
        </w:rPr>
        <w:t>; схема за реакция при проблем с описани ескалационни процедури и евентуални действия/сценарии.</w:t>
      </w:r>
      <w:r w:rsidRPr="00954628">
        <w:rPr>
          <w:rFonts w:ascii="Times New Roman" w:eastAsia="Arial" w:hAnsi="Times New Roman" w:cs="Times New Roman"/>
          <w:lang w:eastAsia="bg-BG"/>
        </w:rPr>
        <w:t>). Комуникационните услуги, както и техническото оборудване, предоставено на Възложителя в съответствие с договора, трябва да се обслужва и поддържа 365 дни в годината, 24 часа в денонощието, 7 дни в седмицата чрез сертифицирани специалисти.</w:t>
      </w:r>
      <w:r w:rsidR="00232BBD" w:rsidRPr="00954628">
        <w:rPr>
          <w:rFonts w:ascii="Times New Roman" w:eastAsia="Arial" w:hAnsi="Times New Roman" w:cs="Times New Roman"/>
          <w:lang w:eastAsia="bg-BG"/>
        </w:rPr>
        <w:t xml:space="preserve"> Услугата трябва да включва и осигуряването на минимум 256 IP адреса и регистрация на автономна система за нуждите на МВнР.</w:t>
      </w:r>
    </w:p>
    <w:p w:rsidR="00232BBD" w:rsidRPr="00954628" w:rsidRDefault="00232BBD" w:rsidP="00232B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after="120"/>
        <w:ind w:right="-490"/>
        <w:jc w:val="both"/>
        <w:rPr>
          <w:rFonts w:ascii="Times New Roman" w:eastAsia="Arial" w:hAnsi="Times New Roman" w:cs="Times New Roman"/>
          <w:lang w:eastAsia="bg-BG"/>
        </w:rPr>
      </w:pPr>
      <w:r w:rsidRPr="00954628">
        <w:rPr>
          <w:rFonts w:ascii="Times New Roman" w:eastAsia="Arial" w:hAnsi="Times New Roman" w:cs="Times New Roman"/>
          <w:lang w:eastAsia="bg-BG"/>
        </w:rPr>
        <w:t xml:space="preserve">Предложеното решение за спиране на DDoS </w:t>
      </w:r>
      <w:r w:rsidR="00DC704C" w:rsidRPr="00954628">
        <w:rPr>
          <w:rFonts w:ascii="Times New Roman" w:eastAsia="Arial" w:hAnsi="Times New Roman" w:cs="Times New Roman"/>
          <w:lang w:eastAsia="bg-BG"/>
        </w:rPr>
        <w:t>(Distributed Denial of Service)</w:t>
      </w:r>
      <w:r w:rsidRPr="00954628">
        <w:rPr>
          <w:rFonts w:ascii="Times New Roman" w:eastAsia="Arial" w:hAnsi="Times New Roman" w:cs="Times New Roman"/>
          <w:lang w:eastAsia="bg-BG"/>
        </w:rPr>
        <w:t xml:space="preserve"> атаки към мрежата на</w:t>
      </w:r>
      <w:r w:rsidR="00DC704C" w:rsidRPr="00954628">
        <w:rPr>
          <w:rFonts w:ascii="Times New Roman" w:eastAsia="Arial" w:hAnsi="Times New Roman" w:cs="Times New Roman"/>
          <w:lang w:eastAsia="bg-BG"/>
        </w:rPr>
        <w:t xml:space="preserve"> МВнР трябва да гарантира поддържане в устойчиво състояние на работните процеси при </w:t>
      </w:r>
      <w:r w:rsidR="00B75771">
        <w:rPr>
          <w:rFonts w:ascii="Times New Roman" w:eastAsia="Arial" w:hAnsi="Times New Roman" w:cs="Times New Roman"/>
          <w:lang w:eastAsia="bg-BG"/>
        </w:rPr>
        <w:t xml:space="preserve">кибер </w:t>
      </w:r>
      <w:r w:rsidR="00DC704C" w:rsidRPr="00954628">
        <w:rPr>
          <w:rFonts w:ascii="Times New Roman" w:eastAsia="Arial" w:hAnsi="Times New Roman" w:cs="Times New Roman"/>
          <w:lang w:eastAsia="bg-BG"/>
        </w:rPr>
        <w:t>атаки върху ИТ инфраструктурата на министерството. То трябва да осигури защита на вътрешната инфраструктура и мрежа на Възложителя от мрежови атаки, идентифициране и незабавно неутрализиране на нетипичен трафик и наличие на резервна инфраструктура, която може веднага да се използва за защита при отпадане на основната. Резервната и основната инфраструктура да се намират на територията на Европа, което да гарантира незначителни стойности на добавеното времезакъснение при пречистване на трафика. Решението не трябва да изисква инвестиция в оборудване и квалифицирани специалисти от страна на МВнР.</w:t>
      </w:r>
    </w:p>
    <w:p w:rsidR="00EB7A4E" w:rsidRPr="00954628" w:rsidRDefault="00EB7A4E" w:rsidP="00232B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after="120"/>
        <w:ind w:right="-490"/>
        <w:jc w:val="both"/>
        <w:rPr>
          <w:rFonts w:ascii="Times New Roman" w:eastAsia="Arial" w:hAnsi="Times New Roman" w:cs="Times New Roman"/>
          <w:lang w:eastAsia="bg-BG"/>
        </w:rPr>
      </w:pPr>
      <w:r w:rsidRPr="00954628">
        <w:rPr>
          <w:rFonts w:ascii="Times New Roman" w:eastAsia="Arial" w:hAnsi="Times New Roman" w:cs="Times New Roman"/>
          <w:lang w:eastAsia="bg-BG"/>
        </w:rPr>
        <w:t>Трябва да бъдат осигурени първоначална инсталация и пускането в действие на услугите.</w:t>
      </w:r>
    </w:p>
    <w:p w:rsidR="00232BBD" w:rsidRPr="00954628" w:rsidRDefault="00232BBD" w:rsidP="00232B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after="120"/>
        <w:ind w:right="-490"/>
        <w:jc w:val="both"/>
        <w:rPr>
          <w:rFonts w:ascii="Times New Roman" w:hAnsi="Times New Roman" w:cs="Times New Roman"/>
        </w:rPr>
      </w:pPr>
      <w:r w:rsidRPr="00954628">
        <w:rPr>
          <w:rFonts w:ascii="Times New Roman" w:eastAsia="Arial" w:hAnsi="Times New Roman" w:cs="Times New Roman"/>
          <w:lang w:eastAsia="bg-BG"/>
        </w:rPr>
        <w:t>Поръчката не е разделена на обособени позиции.</w:t>
      </w:r>
    </w:p>
    <w:p w:rsidR="00232BBD" w:rsidRPr="00954628" w:rsidRDefault="00232BBD" w:rsidP="00232BBD">
      <w:pPr>
        <w:pStyle w:val="Style71"/>
        <w:widowControl/>
        <w:spacing w:before="80"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t xml:space="preserve">3. Позиция на поръчката в утвърдения график на обществените поръчки: </w:t>
      </w:r>
    </w:p>
    <w:p w:rsidR="00232BBD" w:rsidRPr="00954628" w:rsidRDefault="00232BBD" w:rsidP="00232B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after="120"/>
        <w:ind w:right="-490"/>
        <w:jc w:val="both"/>
        <w:rPr>
          <w:rFonts w:ascii="Times New Roman" w:eastAsia="Arial" w:hAnsi="Times New Roman" w:cs="Times New Roman"/>
          <w:lang w:eastAsia="bg-BG"/>
        </w:rPr>
      </w:pPr>
      <w:r w:rsidRPr="00954628">
        <w:rPr>
          <w:rFonts w:ascii="Times New Roman" w:eastAsia="Arial" w:hAnsi="Times New Roman" w:cs="Times New Roman"/>
          <w:lang w:eastAsia="bg-BG"/>
        </w:rPr>
        <w:t>т.</w:t>
      </w:r>
      <w:r w:rsidR="009C417D" w:rsidRPr="00954628">
        <w:rPr>
          <w:rFonts w:ascii="Times New Roman" w:eastAsia="Arial" w:hAnsi="Times New Roman" w:cs="Times New Roman"/>
          <w:lang w:eastAsia="bg-BG"/>
        </w:rPr>
        <w:t xml:space="preserve">т. </w:t>
      </w:r>
      <w:r w:rsidRPr="00954628">
        <w:rPr>
          <w:rFonts w:ascii="Times New Roman" w:eastAsia="Arial" w:hAnsi="Times New Roman" w:cs="Times New Roman"/>
          <w:lang w:eastAsia="bg-BG"/>
        </w:rPr>
        <w:t>1</w:t>
      </w:r>
      <w:r w:rsidR="009C417D" w:rsidRPr="00954628">
        <w:rPr>
          <w:rFonts w:ascii="Times New Roman" w:eastAsia="Arial" w:hAnsi="Times New Roman" w:cs="Times New Roman"/>
          <w:lang w:eastAsia="bg-BG"/>
        </w:rPr>
        <w:t>8, 21 и 29</w:t>
      </w:r>
      <w:r w:rsidRPr="00954628">
        <w:rPr>
          <w:rFonts w:ascii="Times New Roman" w:eastAsia="Arial" w:hAnsi="Times New Roman" w:cs="Times New Roman"/>
          <w:lang w:eastAsia="bg-BG"/>
        </w:rPr>
        <w:t xml:space="preserve"> от </w:t>
      </w:r>
      <w:r w:rsidR="009C417D" w:rsidRPr="00954628">
        <w:rPr>
          <w:rFonts w:ascii="Times New Roman" w:eastAsia="Arial" w:hAnsi="Times New Roman" w:cs="Times New Roman"/>
          <w:lang w:eastAsia="bg-BG"/>
        </w:rPr>
        <w:t>Списъка на поръчките за директно възлагане по чл. 20, ал. 4 от ЗОП за периода от 01.01.2019 г. до 31.12.2019 г.</w:t>
      </w:r>
    </w:p>
    <w:p w:rsidR="003D486D" w:rsidRPr="00954628" w:rsidRDefault="005D7180" w:rsidP="00E041AE">
      <w:pPr>
        <w:pStyle w:val="Footer"/>
        <w:spacing w:before="66"/>
        <w:rPr>
          <w:rFonts w:ascii="Times New Roman" w:hAnsi="Times New Roman" w:cs="Times New Roman"/>
          <w:b/>
          <w:bCs/>
          <w:lang w:val="bg-BG"/>
        </w:rPr>
      </w:pPr>
      <w:r w:rsidRPr="00954628">
        <w:rPr>
          <w:rStyle w:val="FontStyle154"/>
          <w:sz w:val="22"/>
          <w:szCs w:val="22"/>
          <w:lang w:val="bg-BG"/>
        </w:rPr>
        <w:t>4</w:t>
      </w:r>
      <w:r w:rsidR="003D58A6" w:rsidRPr="00954628">
        <w:rPr>
          <w:rStyle w:val="FontStyle154"/>
          <w:sz w:val="22"/>
          <w:szCs w:val="22"/>
          <w:lang w:val="bg-BG"/>
        </w:rPr>
        <w:t>. Начин и м</w:t>
      </w:r>
      <w:r w:rsidR="003342AD" w:rsidRPr="00954628">
        <w:rPr>
          <w:rStyle w:val="FontStyle154"/>
          <w:sz w:val="22"/>
          <w:szCs w:val="22"/>
          <w:lang w:val="bg-BG"/>
        </w:rPr>
        <w:t>ясто на изпъл</w:t>
      </w:r>
      <w:r w:rsidR="003D486D" w:rsidRPr="00954628">
        <w:rPr>
          <w:rStyle w:val="FontStyle154"/>
          <w:sz w:val="22"/>
          <w:szCs w:val="22"/>
          <w:lang w:val="bg-BG"/>
        </w:rPr>
        <w:t xml:space="preserve">нение на поръчката: </w:t>
      </w:r>
      <w:r w:rsidR="00880E32" w:rsidRPr="00954628">
        <w:rPr>
          <w:rStyle w:val="FontStyle154"/>
          <w:b w:val="0"/>
          <w:sz w:val="22"/>
          <w:szCs w:val="22"/>
          <w:lang w:val="bg-BG"/>
        </w:rPr>
        <w:t>Ц</w:t>
      </w:r>
      <w:r w:rsidR="006A76F0" w:rsidRPr="00954628">
        <w:rPr>
          <w:rStyle w:val="FontStyle154"/>
          <w:b w:val="0"/>
          <w:sz w:val="22"/>
          <w:szCs w:val="22"/>
          <w:lang w:val="bg-BG"/>
        </w:rPr>
        <w:t>ентрално управление</w:t>
      </w:r>
      <w:r w:rsidR="003D486D" w:rsidRPr="00954628">
        <w:rPr>
          <w:rStyle w:val="FontStyle154"/>
          <w:b w:val="0"/>
          <w:sz w:val="22"/>
          <w:szCs w:val="22"/>
          <w:lang w:val="bg-BG"/>
        </w:rPr>
        <w:t xml:space="preserve"> на </w:t>
      </w:r>
      <w:r w:rsidR="006A76F0" w:rsidRPr="00954628">
        <w:rPr>
          <w:rFonts w:ascii="Times New Roman" w:hAnsi="Times New Roman" w:cs="Times New Roman"/>
          <w:lang w:val="bg-BG"/>
        </w:rPr>
        <w:t>Министерство на външните работи</w:t>
      </w:r>
      <w:r w:rsidR="006A76F0" w:rsidRPr="00954628">
        <w:rPr>
          <w:rStyle w:val="FontStyle154"/>
          <w:b w:val="0"/>
          <w:sz w:val="22"/>
          <w:szCs w:val="22"/>
          <w:lang w:val="bg-BG"/>
        </w:rPr>
        <w:t xml:space="preserve"> </w:t>
      </w:r>
      <w:r w:rsidR="00880E32" w:rsidRPr="00954628">
        <w:rPr>
          <w:rFonts w:ascii="Times New Roman" w:hAnsi="Times New Roman" w:cs="Times New Roman"/>
          <w:lang w:val="bg-BG"/>
        </w:rPr>
        <w:t>на адрес: София 1113, улица "Александър Жендов" № 2</w:t>
      </w:r>
      <w:r w:rsidR="006A76F0" w:rsidRPr="00954628">
        <w:rPr>
          <w:rFonts w:ascii="Times New Roman" w:hAnsi="Times New Roman" w:cs="Times New Roman"/>
          <w:bCs/>
        </w:rPr>
        <w:t>.</w:t>
      </w:r>
    </w:p>
    <w:p w:rsidR="003D486D" w:rsidRPr="00954628" w:rsidRDefault="005D7180" w:rsidP="00E041AE">
      <w:pPr>
        <w:pStyle w:val="Style71"/>
        <w:widowControl/>
        <w:spacing w:before="66"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lastRenderedPageBreak/>
        <w:t>5</w:t>
      </w:r>
      <w:r w:rsidR="003342AD" w:rsidRPr="00954628">
        <w:rPr>
          <w:rStyle w:val="FontStyle154"/>
          <w:sz w:val="22"/>
          <w:szCs w:val="22"/>
        </w:rPr>
        <w:t>. Технически спецификации за изпълнението на поръчката</w:t>
      </w:r>
    </w:p>
    <w:p w:rsidR="00EB7A4E" w:rsidRPr="00954628" w:rsidRDefault="00EB7A4E" w:rsidP="0033616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54628">
        <w:rPr>
          <w:rFonts w:ascii="Times New Roman" w:hAnsi="Times New Roman" w:cs="Times New Roman"/>
          <w:b/>
          <w:bCs/>
          <w:u w:val="single"/>
        </w:rPr>
        <w:t xml:space="preserve">Параметри на услугата по доставка на Интернет: </w:t>
      </w:r>
    </w:p>
    <w:p w:rsidR="00EB7A4E" w:rsidRPr="00954628" w:rsidRDefault="00EB7A4E" w:rsidP="00AD5B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>Изпълнителят да осигурява интернет по гарантиран и несподелен с други клиенти канал за достъп, без ограничения по трафик и съотношение на трафика IN : OUT = 1:1.</w:t>
      </w:r>
    </w:p>
    <w:p w:rsidR="00911057" w:rsidRPr="00954628" w:rsidRDefault="00911057" w:rsidP="00AD5B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>Изпълнителят е необходимо да разполага с технически възел (възли) извън страната (в Европа), което да му позволява да управлява от край до край качеството на предоставяната Интернет свързаност. Следва в техническото си предложение да посочи списък с локацията (страна, град) на техническия възел (възли), както и списък на отделните връзки, входящи и изходящи капацитети/скорости към Tier 1 доставчиците.</w:t>
      </w:r>
    </w:p>
    <w:p w:rsidR="00EB7A4E" w:rsidRPr="00954628" w:rsidRDefault="00EB7A4E" w:rsidP="00AD5B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 xml:space="preserve">Изпълнителят да гарантира симетрична скорост за международното и българско Интернет пространство с капацитет от </w:t>
      </w:r>
      <w:r w:rsidR="00B75771">
        <w:rPr>
          <w:rFonts w:ascii="Times New Roman" w:hAnsi="Times New Roman" w:cs="Times New Roman"/>
          <w:bCs/>
        </w:rPr>
        <w:t xml:space="preserve">минимум </w:t>
      </w:r>
      <w:r w:rsidRPr="00954628">
        <w:rPr>
          <w:rFonts w:ascii="Times New Roman" w:hAnsi="Times New Roman" w:cs="Times New Roman"/>
          <w:bCs/>
        </w:rPr>
        <w:t xml:space="preserve">1,5 </w:t>
      </w:r>
      <w:proofErr w:type="spellStart"/>
      <w:r w:rsidRPr="00954628">
        <w:rPr>
          <w:rFonts w:ascii="Times New Roman" w:hAnsi="Times New Roman" w:cs="Times New Roman"/>
          <w:bCs/>
          <w:lang w:val="en-US"/>
        </w:rPr>
        <w:t>Gbps</w:t>
      </w:r>
      <w:proofErr w:type="spellEnd"/>
      <w:r w:rsidRPr="00954628">
        <w:rPr>
          <w:rFonts w:ascii="Times New Roman" w:hAnsi="Times New Roman" w:cs="Times New Roman"/>
          <w:bCs/>
          <w:lang w:val="en-US"/>
        </w:rPr>
        <w:t>.</w:t>
      </w:r>
    </w:p>
    <w:p w:rsidR="00EB7A4E" w:rsidRPr="00954628" w:rsidRDefault="00EB7A4E" w:rsidP="00AD5B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>Изпълнителят да осигури по вътрешни и външни трасета поддържане на динамична маршрутизация – Border Gateway protocol 4  (BGP4)</w:t>
      </w:r>
    </w:p>
    <w:p w:rsidR="00EB7A4E" w:rsidRPr="00954628" w:rsidRDefault="00EB7A4E" w:rsidP="00AD5B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 xml:space="preserve">Доставката на услуга до обекта на Възложителя трябва да се извърши през подземна кабелна мрежа по оптична линия през </w:t>
      </w:r>
      <w:r w:rsidRPr="00954628">
        <w:rPr>
          <w:rFonts w:ascii="Times New Roman" w:hAnsi="Times New Roman" w:cs="Times New Roman"/>
          <w:b/>
          <w:bCs/>
        </w:rPr>
        <w:t>две независими оптични трасета.</w:t>
      </w:r>
    </w:p>
    <w:p w:rsidR="00911057" w:rsidRPr="00954628" w:rsidRDefault="00911057" w:rsidP="00AD5B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>Изпълнителят е необходимо да предостави възможност за наблюдение на горепосочените връзки с възможност за ping, traceroute, BGP summary или др.</w:t>
      </w:r>
    </w:p>
    <w:p w:rsidR="00911057" w:rsidRPr="00954628" w:rsidRDefault="00911057" w:rsidP="00AD5B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>Изпълнителят е необходимо да осигури адресно пространство минимум 256 IP адреса и да регистрира автономна система за нуждите на Възложителя.</w:t>
      </w:r>
    </w:p>
    <w:p w:rsidR="00EB7A4E" w:rsidRPr="00954628" w:rsidRDefault="00EB7A4E" w:rsidP="00AD5B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954628">
        <w:rPr>
          <w:rFonts w:ascii="Times New Roman" w:hAnsi="Times New Roman" w:cs="Times New Roman"/>
          <w:bCs/>
        </w:rPr>
        <w:t>Изпълнителят следва да гарантира в техническото си предложение висока надеждност на услугата със следните параметри:</w:t>
      </w:r>
      <w:r w:rsidRPr="00954628">
        <w:rPr>
          <w:rFonts w:ascii="Times New Roman" w:eastAsia="Arial" w:hAnsi="Times New Roman" w:cs="Times New Roman"/>
        </w:rPr>
        <w:t xml:space="preserve"> </w:t>
      </w:r>
    </w:p>
    <w:p w:rsidR="00EB7A4E" w:rsidRPr="00954628" w:rsidRDefault="00911057" w:rsidP="00AD5B9B">
      <w:pPr>
        <w:pStyle w:val="ListParagraph"/>
        <w:numPr>
          <w:ilvl w:val="0"/>
          <w:numId w:val="3"/>
        </w:numPr>
        <w:spacing w:after="0" w:line="240" w:lineRule="auto"/>
        <w:ind w:left="990" w:hanging="270"/>
        <w:jc w:val="both"/>
        <w:rPr>
          <w:rFonts w:ascii="Times New Roman" w:eastAsia="Arial" w:hAnsi="Times New Roman" w:cs="Times New Roman"/>
        </w:rPr>
      </w:pPr>
      <w:r w:rsidRPr="00954628">
        <w:rPr>
          <w:rFonts w:ascii="Times New Roman" w:eastAsia="Arial" w:hAnsi="Times New Roman" w:cs="Times New Roman"/>
        </w:rPr>
        <w:t xml:space="preserve">Достъпност </w:t>
      </w:r>
      <w:r w:rsidR="00EB7A4E" w:rsidRPr="00954628">
        <w:rPr>
          <w:rFonts w:ascii="Times New Roman" w:eastAsia="Arial" w:hAnsi="Times New Roman" w:cs="Times New Roman"/>
        </w:rPr>
        <w:t xml:space="preserve">(непрекъсваемост/uptime на услугата) – </w:t>
      </w:r>
      <w:r w:rsidR="00B75771">
        <w:rPr>
          <w:rFonts w:ascii="Times New Roman" w:eastAsia="Arial" w:hAnsi="Times New Roman" w:cs="Times New Roman"/>
        </w:rPr>
        <w:t xml:space="preserve">минимум </w:t>
      </w:r>
      <w:r w:rsidR="00EB7A4E" w:rsidRPr="00954628">
        <w:rPr>
          <w:rFonts w:ascii="Times New Roman" w:eastAsia="Arial" w:hAnsi="Times New Roman" w:cs="Times New Roman"/>
          <w:b/>
        </w:rPr>
        <w:t xml:space="preserve">99,5% </w:t>
      </w:r>
      <w:r w:rsidR="00EB7A4E" w:rsidRPr="00954628">
        <w:rPr>
          <w:rFonts w:ascii="Times New Roman" w:hAnsi="Times New Roman" w:cs="Times New Roman"/>
          <w:bCs/>
        </w:rPr>
        <w:t>на средномесечна база</w:t>
      </w:r>
      <w:r w:rsidR="00EB7A4E" w:rsidRPr="00954628">
        <w:rPr>
          <w:rFonts w:ascii="Times New Roman" w:eastAsia="Arial" w:hAnsi="Times New Roman" w:cs="Times New Roman"/>
        </w:rPr>
        <w:t>;</w:t>
      </w:r>
    </w:p>
    <w:p w:rsidR="00EB7A4E" w:rsidRPr="00954628" w:rsidRDefault="00EB7A4E" w:rsidP="00AD5B9B">
      <w:pPr>
        <w:pStyle w:val="ListParagraph"/>
        <w:numPr>
          <w:ilvl w:val="0"/>
          <w:numId w:val="3"/>
        </w:numPr>
        <w:spacing w:after="0" w:line="240" w:lineRule="auto"/>
        <w:ind w:left="990" w:hanging="270"/>
        <w:jc w:val="both"/>
        <w:rPr>
          <w:rFonts w:ascii="Times New Roman" w:eastAsia="Arial" w:hAnsi="Times New Roman" w:cs="Times New Roman"/>
        </w:rPr>
      </w:pPr>
      <w:r w:rsidRPr="00954628">
        <w:rPr>
          <w:rFonts w:ascii="Times New Roman" w:eastAsia="Arial" w:hAnsi="Times New Roman" w:cs="Times New Roman"/>
        </w:rPr>
        <w:t>Център за управление на предоставяните услуги в реално време</w:t>
      </w:r>
      <w:r w:rsidR="00911057" w:rsidRPr="00954628">
        <w:rPr>
          <w:rFonts w:ascii="Times New Roman" w:eastAsia="Arial" w:hAnsi="Times New Roman" w:cs="Times New Roman"/>
        </w:rPr>
        <w:t xml:space="preserve"> (Help desk)</w:t>
      </w:r>
      <w:r w:rsidRPr="00954628">
        <w:rPr>
          <w:rFonts w:ascii="Times New Roman" w:eastAsia="Arial" w:hAnsi="Times New Roman" w:cs="Times New Roman"/>
        </w:rPr>
        <w:t>, работещ 24 часа в денонощието, седем дни в седмицата, 365 дни в годината;</w:t>
      </w:r>
    </w:p>
    <w:p w:rsidR="00EB7A4E" w:rsidRPr="00954628" w:rsidRDefault="00911057" w:rsidP="00AD5B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>Изпълнителят следва да</w:t>
      </w:r>
      <w:r w:rsidR="00EB7A4E" w:rsidRPr="00954628">
        <w:rPr>
          <w:rFonts w:ascii="Times New Roman" w:hAnsi="Times New Roman" w:cs="Times New Roman"/>
          <w:bCs/>
        </w:rPr>
        <w:t xml:space="preserve"> предоставя комуникационните услуги 365 дни в годината, 24 часа в денонощието, 7 дни в седмицата.</w:t>
      </w:r>
    </w:p>
    <w:p w:rsidR="00EB7A4E" w:rsidRPr="00954628" w:rsidRDefault="00EB7A4E" w:rsidP="00AD5B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 xml:space="preserve">Изпълнителят следва да извършва обслужване и поддръжка на комуникационните услуги, както и на техническото оборудване, предоставено на Възложителя в съответствие </w:t>
      </w:r>
      <w:r w:rsidR="00911057" w:rsidRPr="00954628">
        <w:rPr>
          <w:rFonts w:ascii="Times New Roman" w:hAnsi="Times New Roman" w:cs="Times New Roman"/>
          <w:bCs/>
        </w:rPr>
        <w:t xml:space="preserve">с </w:t>
      </w:r>
      <w:r w:rsidRPr="00954628">
        <w:rPr>
          <w:rFonts w:ascii="Times New Roman" w:hAnsi="Times New Roman" w:cs="Times New Roman"/>
          <w:bCs/>
        </w:rPr>
        <w:t>договора, 365 дни в годината, 24 часа в денонощието, 7 дни в седмицата чрез сертифицирани специалисти.</w:t>
      </w:r>
    </w:p>
    <w:p w:rsidR="00911057" w:rsidRPr="00954628" w:rsidRDefault="00911057" w:rsidP="00AD5B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>Изпълнителят е необходимо да представи схема за реакция при проблем. В схемата следва да се опишат ескалационни процедури и евентуални действия/сценарии.</w:t>
      </w:r>
    </w:p>
    <w:p w:rsidR="00EB7A4E" w:rsidRPr="00954628" w:rsidRDefault="00EB7A4E" w:rsidP="0033616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54628">
        <w:rPr>
          <w:rFonts w:ascii="Times New Roman" w:hAnsi="Times New Roman" w:cs="Times New Roman"/>
          <w:b/>
          <w:bCs/>
          <w:u w:val="single"/>
        </w:rPr>
        <w:t xml:space="preserve">Параметри на услугата DDoS (Distributed Denial of Service): </w:t>
      </w:r>
    </w:p>
    <w:p w:rsidR="00EB7A4E" w:rsidRPr="00954628" w:rsidRDefault="00EB7A4E" w:rsidP="00336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Всеки участник е необходимо да осигури и опише решение за спиране на DDoS </w:t>
      </w:r>
      <w:r w:rsidR="0033616A" w:rsidRPr="00954628">
        <w:rPr>
          <w:rFonts w:ascii="Times New Roman" w:hAnsi="Times New Roman" w:cs="Times New Roman"/>
        </w:rPr>
        <w:t>(Distributed Denial of Service) и</w:t>
      </w:r>
      <w:r w:rsidRPr="00954628">
        <w:rPr>
          <w:rFonts w:ascii="Times New Roman" w:hAnsi="Times New Roman" w:cs="Times New Roman"/>
        </w:rPr>
        <w:t xml:space="preserve"> DoS (Denial of Service) атаки към мрежата на Възложителя. Предложеното решение от Изпълнителя трябва да о</w:t>
      </w:r>
      <w:r w:rsidR="0033616A" w:rsidRPr="00954628">
        <w:rPr>
          <w:rFonts w:ascii="Times New Roman" w:hAnsi="Times New Roman" w:cs="Times New Roman"/>
        </w:rPr>
        <w:t>тговаря на следните изисквания:</w:t>
      </w:r>
    </w:p>
    <w:p w:rsidR="00EB7A4E" w:rsidRPr="00954628" w:rsidRDefault="00EB7A4E" w:rsidP="00AD5B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Услугата да позволява поддържане на устойчивост на работните процесите при </w:t>
      </w:r>
      <w:proofErr w:type="spellStart"/>
      <w:r w:rsidR="00B75771">
        <w:rPr>
          <w:rFonts w:ascii="Times New Roman" w:hAnsi="Times New Roman" w:cs="Times New Roman"/>
        </w:rPr>
        <w:t>кибер</w:t>
      </w:r>
      <w:r w:rsidRPr="00954628">
        <w:rPr>
          <w:rFonts w:ascii="Times New Roman" w:hAnsi="Times New Roman" w:cs="Times New Roman"/>
        </w:rPr>
        <w:t>атаки</w:t>
      </w:r>
      <w:proofErr w:type="spellEnd"/>
      <w:r w:rsidRPr="00954628">
        <w:rPr>
          <w:rFonts w:ascii="Times New Roman" w:hAnsi="Times New Roman" w:cs="Times New Roman"/>
        </w:rPr>
        <w:t xml:space="preserve"> върху IT инфраструктурата на Възложителя;</w:t>
      </w:r>
    </w:p>
    <w:p w:rsidR="00EB7A4E" w:rsidRDefault="005B23C3" w:rsidP="00AD5B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бъде осигурена п</w:t>
      </w:r>
      <w:r w:rsidR="00EB7A4E" w:rsidRPr="00954628">
        <w:rPr>
          <w:rFonts w:ascii="Times New Roman" w:hAnsi="Times New Roman" w:cs="Times New Roman"/>
        </w:rPr>
        <w:t xml:space="preserve">ълна защита на вътрешната инфраструктура и мрежа </w:t>
      </w:r>
      <w:r>
        <w:rPr>
          <w:rFonts w:ascii="Times New Roman" w:hAnsi="Times New Roman" w:cs="Times New Roman"/>
        </w:rPr>
        <w:t>на Възложителя от мрежови атаки.</w:t>
      </w:r>
      <w:r w:rsidR="00EB7A4E" w:rsidRPr="009546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Нетипич</w:t>
      </w:r>
      <w:r w:rsidRPr="0095462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ия</w:t>
      </w:r>
      <w:r w:rsidRPr="00954628">
        <w:rPr>
          <w:rFonts w:ascii="Times New Roman" w:hAnsi="Times New Roman" w:cs="Times New Roman"/>
        </w:rPr>
        <w:t xml:space="preserve"> трафик</w:t>
      </w:r>
      <w:r>
        <w:rPr>
          <w:rFonts w:ascii="Times New Roman" w:hAnsi="Times New Roman" w:cs="Times New Roman"/>
        </w:rPr>
        <w:t xml:space="preserve"> да се идентифицира и незабавно да се неутрализира</w:t>
      </w:r>
      <w:r w:rsidR="00EB7A4E" w:rsidRPr="00954628">
        <w:rPr>
          <w:rFonts w:ascii="Times New Roman" w:hAnsi="Times New Roman" w:cs="Times New Roman"/>
        </w:rPr>
        <w:t>;</w:t>
      </w:r>
    </w:p>
    <w:p w:rsidR="005B23C3" w:rsidRDefault="005B23C3" w:rsidP="00AD5B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Защитата да се извършва в реално време като нетипичния трафик постоянно се рутира и пречиства още на мрежово ниво през </w:t>
      </w:r>
      <w:r w:rsidRPr="00954628">
        <w:rPr>
          <w:rFonts w:ascii="Times New Roman" w:hAnsi="Times New Roman" w:cs="Times New Roman"/>
        </w:rPr>
        <w:t>DDoS</w:t>
      </w:r>
      <w:r>
        <w:rPr>
          <w:rFonts w:ascii="Times New Roman" w:hAnsi="Times New Roman" w:cs="Times New Roman"/>
        </w:rPr>
        <w:t xml:space="preserve"> платформа;</w:t>
      </w:r>
    </w:p>
    <w:p w:rsidR="005B23C3" w:rsidRPr="00954628" w:rsidRDefault="005B23C3" w:rsidP="00AD5B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Към интерфейса на възложителя да се рутира само легитимен трафик;</w:t>
      </w:r>
    </w:p>
    <w:p w:rsidR="00EB7A4E" w:rsidRPr="00954628" w:rsidRDefault="005B23C3" w:rsidP="00AD5B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Услугата да се осъществява б</w:t>
      </w:r>
      <w:r w:rsidR="00EB7A4E" w:rsidRPr="00954628">
        <w:rPr>
          <w:rFonts w:ascii="Times New Roman" w:hAnsi="Times New Roman" w:cs="Times New Roman"/>
        </w:rPr>
        <w:t>ез необходимост от инвестиция в оборудване и квалифицирани специалисти от страна на Възложителя;</w:t>
      </w:r>
    </w:p>
    <w:p w:rsidR="00EB7A4E" w:rsidRPr="00954628" w:rsidRDefault="0033616A" w:rsidP="00AD5B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Н</w:t>
      </w:r>
      <w:r w:rsidR="00EB7A4E" w:rsidRPr="00954628">
        <w:rPr>
          <w:rFonts w:ascii="Times New Roman" w:hAnsi="Times New Roman" w:cs="Times New Roman"/>
        </w:rPr>
        <w:t>аличие на резервна инфраструктура, която може веднага да се използва за защита при отпадане на основната;</w:t>
      </w:r>
    </w:p>
    <w:p w:rsidR="00EB7A4E" w:rsidRPr="00954628" w:rsidRDefault="00EB7A4E" w:rsidP="00AD5B9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Резервната и основната инфраструктура да се намират на територията на Европа, което да гарантира незначителни стойности на добавеното времезакъснение при пречистване на трафика;</w:t>
      </w:r>
    </w:p>
    <w:p w:rsidR="004A3801" w:rsidRDefault="004A380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EB7A4E" w:rsidRPr="00954628" w:rsidRDefault="00EB7A4E" w:rsidP="00EB7A4E">
      <w:pPr>
        <w:spacing w:before="120"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54628">
        <w:rPr>
          <w:rFonts w:ascii="Times New Roman" w:hAnsi="Times New Roman" w:cs="Times New Roman"/>
          <w:b/>
          <w:u w:val="single"/>
        </w:rPr>
        <w:t>Първоначална инсталация и пускане в действие на услугата:</w:t>
      </w:r>
    </w:p>
    <w:p w:rsidR="00EB7A4E" w:rsidRPr="00954628" w:rsidRDefault="00EB7A4E" w:rsidP="0033616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Първоначалната инсталация и пускането в действие на услугата включва:</w:t>
      </w:r>
    </w:p>
    <w:p w:rsidR="00EB7A4E" w:rsidRPr="00954628" w:rsidRDefault="00EB7A4E" w:rsidP="00AD5B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Изграждане на физическата свързаност </w:t>
      </w:r>
      <w:r w:rsidR="0033616A" w:rsidRPr="00954628">
        <w:rPr>
          <w:rFonts w:ascii="Times New Roman" w:hAnsi="Times New Roman" w:cs="Times New Roman"/>
        </w:rPr>
        <w:t>между</w:t>
      </w:r>
      <w:r w:rsidRPr="00954628">
        <w:rPr>
          <w:rFonts w:ascii="Times New Roman" w:hAnsi="Times New Roman" w:cs="Times New Roman"/>
        </w:rPr>
        <w:t xml:space="preserve"> обект</w:t>
      </w:r>
      <w:r w:rsidR="0033616A" w:rsidRPr="00954628">
        <w:rPr>
          <w:rFonts w:ascii="Times New Roman" w:hAnsi="Times New Roman" w:cs="Times New Roman"/>
        </w:rPr>
        <w:t>а</w:t>
      </w:r>
      <w:r w:rsidRPr="00954628">
        <w:rPr>
          <w:rFonts w:ascii="Times New Roman" w:hAnsi="Times New Roman" w:cs="Times New Roman"/>
        </w:rPr>
        <w:t xml:space="preserve"> на Възложителя и инфраструктурата на </w:t>
      </w:r>
      <w:r w:rsidR="0033616A" w:rsidRPr="00954628">
        <w:rPr>
          <w:rFonts w:ascii="Times New Roman" w:hAnsi="Times New Roman" w:cs="Times New Roman"/>
        </w:rPr>
        <w:t>Изпълнителя</w:t>
      </w:r>
      <w:r w:rsidRPr="00954628">
        <w:rPr>
          <w:rFonts w:ascii="Times New Roman" w:hAnsi="Times New Roman" w:cs="Times New Roman"/>
          <w:bCs/>
        </w:rPr>
        <w:t>.</w:t>
      </w:r>
    </w:p>
    <w:p w:rsidR="00EB7A4E" w:rsidRPr="00954628" w:rsidRDefault="00EB7A4E" w:rsidP="00AD5B9B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Конфигуриране на услугата.</w:t>
      </w:r>
    </w:p>
    <w:p w:rsidR="00EB7A4E" w:rsidRPr="00954628" w:rsidRDefault="00EB7A4E" w:rsidP="00AD5B9B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Предоставяне достъп до Интернет – международен и национален.</w:t>
      </w:r>
    </w:p>
    <w:p w:rsidR="00EB7A4E" w:rsidRPr="00954628" w:rsidRDefault="00EB7A4E" w:rsidP="00AD5B9B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Въвеждане на автономна система.</w:t>
      </w:r>
    </w:p>
    <w:p w:rsidR="00EB7A4E" w:rsidRPr="00954628" w:rsidRDefault="00EB7A4E" w:rsidP="00AD5B9B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Провеждане на тестове на предоставената услуга за покриване на изискванията на Възложителя.</w:t>
      </w:r>
    </w:p>
    <w:p w:rsidR="003D486D" w:rsidRPr="00954628" w:rsidRDefault="005D7180" w:rsidP="00E041AE">
      <w:pPr>
        <w:pStyle w:val="Style71"/>
        <w:widowControl/>
        <w:spacing w:before="66"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t>6</w:t>
      </w:r>
      <w:r w:rsidR="003342AD" w:rsidRPr="00954628">
        <w:rPr>
          <w:rStyle w:val="FontStyle154"/>
          <w:sz w:val="22"/>
          <w:szCs w:val="22"/>
        </w:rPr>
        <w:t xml:space="preserve">. </w:t>
      </w:r>
      <w:r w:rsidRPr="00954628">
        <w:rPr>
          <w:rStyle w:val="FontStyle154"/>
          <w:sz w:val="22"/>
          <w:szCs w:val="22"/>
        </w:rPr>
        <w:t>С</w:t>
      </w:r>
      <w:r w:rsidR="003342AD" w:rsidRPr="00954628">
        <w:rPr>
          <w:rStyle w:val="FontStyle154"/>
          <w:sz w:val="22"/>
          <w:szCs w:val="22"/>
        </w:rPr>
        <w:t>рок на изпълнение на поръчката и информация относно отделните доставки и/или услуги, ета</w:t>
      </w:r>
      <w:r w:rsidR="009E1EA7" w:rsidRPr="00954628">
        <w:rPr>
          <w:rStyle w:val="FontStyle154"/>
          <w:sz w:val="22"/>
          <w:szCs w:val="22"/>
        </w:rPr>
        <w:t>пи и дейности:</w:t>
      </w:r>
    </w:p>
    <w:p w:rsidR="009E1EA7" w:rsidRPr="00954628" w:rsidRDefault="009E1EA7" w:rsidP="008A288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 xml:space="preserve">Срок за </w:t>
      </w:r>
      <w:r w:rsidR="0033616A" w:rsidRPr="00954628">
        <w:rPr>
          <w:rFonts w:ascii="Times New Roman" w:hAnsi="Times New Roman" w:cs="Times New Roman"/>
          <w:bCs/>
        </w:rPr>
        <w:t>предоставяне на услугите</w:t>
      </w:r>
      <w:r w:rsidR="00880E32" w:rsidRPr="00954628">
        <w:rPr>
          <w:rFonts w:ascii="Times New Roman" w:hAnsi="Times New Roman" w:cs="Times New Roman"/>
          <w:bCs/>
        </w:rPr>
        <w:t xml:space="preserve"> </w:t>
      </w:r>
      <w:r w:rsidR="0033616A" w:rsidRPr="00954628">
        <w:rPr>
          <w:rFonts w:ascii="Times New Roman" w:hAnsi="Times New Roman" w:cs="Times New Roman"/>
          <w:bCs/>
        </w:rPr>
        <w:t>– 12 месеца. Срок за първоначална инсталация и пускане в действие на услугата</w:t>
      </w:r>
      <w:r w:rsidR="008A288A" w:rsidRPr="00954628">
        <w:rPr>
          <w:rFonts w:ascii="Times New Roman" w:hAnsi="Times New Roman" w:cs="Times New Roman"/>
          <w:bCs/>
        </w:rPr>
        <w:t xml:space="preserve"> – 5 работни дни</w:t>
      </w:r>
      <w:r w:rsidR="0033616A" w:rsidRPr="00954628">
        <w:rPr>
          <w:rFonts w:ascii="Times New Roman" w:hAnsi="Times New Roman" w:cs="Times New Roman"/>
          <w:bCs/>
        </w:rPr>
        <w:t>.</w:t>
      </w:r>
    </w:p>
    <w:p w:rsidR="003D486D" w:rsidRPr="00954628" w:rsidRDefault="00575329" w:rsidP="00E041AE">
      <w:pPr>
        <w:pStyle w:val="Style71"/>
        <w:widowControl/>
        <w:spacing w:before="66" w:line="240" w:lineRule="auto"/>
        <w:rPr>
          <w:rStyle w:val="FontStyle154"/>
          <w:sz w:val="22"/>
          <w:szCs w:val="22"/>
          <w:lang w:val="en-US"/>
        </w:rPr>
      </w:pPr>
      <w:r w:rsidRPr="00954628">
        <w:rPr>
          <w:rStyle w:val="FontStyle154"/>
          <w:sz w:val="22"/>
          <w:szCs w:val="22"/>
        </w:rPr>
        <w:t>7</w:t>
      </w:r>
      <w:r w:rsidR="003342AD" w:rsidRPr="00954628">
        <w:rPr>
          <w:rStyle w:val="FontStyle154"/>
          <w:sz w:val="22"/>
          <w:szCs w:val="22"/>
        </w:rPr>
        <w:t xml:space="preserve">. Прогнозно количество/обем на поръчката: </w:t>
      </w:r>
      <w:r w:rsidR="00275C05" w:rsidRPr="00954628">
        <w:rPr>
          <w:rStyle w:val="FontStyle154"/>
          <w:b w:val="0"/>
          <w:sz w:val="22"/>
          <w:szCs w:val="22"/>
        </w:rPr>
        <w:t>Виж Техническите спецификации.</w:t>
      </w:r>
    </w:p>
    <w:p w:rsidR="003D486D" w:rsidRPr="00954628" w:rsidRDefault="00575329" w:rsidP="00E041AE">
      <w:pPr>
        <w:pStyle w:val="Style71"/>
        <w:widowControl/>
        <w:spacing w:before="66"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t>8</w:t>
      </w:r>
      <w:r w:rsidR="003342AD" w:rsidRPr="00954628">
        <w:rPr>
          <w:rStyle w:val="FontStyle154"/>
          <w:sz w:val="22"/>
          <w:szCs w:val="22"/>
        </w:rPr>
        <w:t>. Гаранционни условия (когато е необходимо):</w:t>
      </w:r>
      <w:r w:rsidR="00275C05" w:rsidRPr="00954628">
        <w:rPr>
          <w:rStyle w:val="FontStyle154"/>
          <w:b w:val="0"/>
          <w:sz w:val="22"/>
          <w:szCs w:val="22"/>
        </w:rPr>
        <w:t xml:space="preserve"> </w:t>
      </w:r>
      <w:r w:rsidR="006134F9" w:rsidRPr="00954628">
        <w:rPr>
          <w:rStyle w:val="FontStyle154"/>
          <w:b w:val="0"/>
          <w:sz w:val="22"/>
          <w:szCs w:val="22"/>
        </w:rPr>
        <w:t>Неприложимо</w:t>
      </w:r>
      <w:r w:rsidR="00275C05" w:rsidRPr="00954628">
        <w:rPr>
          <w:rStyle w:val="FontStyle154"/>
          <w:b w:val="0"/>
          <w:sz w:val="22"/>
          <w:szCs w:val="22"/>
        </w:rPr>
        <w:t>.</w:t>
      </w:r>
    </w:p>
    <w:p w:rsidR="003D486D" w:rsidRPr="00954628" w:rsidRDefault="00575329" w:rsidP="00E041AE">
      <w:pPr>
        <w:pStyle w:val="Style71"/>
        <w:widowControl/>
        <w:spacing w:before="66" w:line="240" w:lineRule="auto"/>
        <w:rPr>
          <w:rStyle w:val="FontStyle154"/>
          <w:b w:val="0"/>
          <w:sz w:val="22"/>
          <w:szCs w:val="22"/>
        </w:rPr>
      </w:pPr>
      <w:r w:rsidRPr="00954628">
        <w:rPr>
          <w:rStyle w:val="FontStyle154"/>
          <w:sz w:val="22"/>
          <w:szCs w:val="22"/>
        </w:rPr>
        <w:t>9</w:t>
      </w:r>
      <w:r w:rsidR="005D7180" w:rsidRPr="00954628">
        <w:rPr>
          <w:rStyle w:val="FontStyle154"/>
          <w:sz w:val="22"/>
          <w:szCs w:val="22"/>
        </w:rPr>
        <w:t>. Етапи и критерии за приемане на доставката, услугата и/или строителство, и други специфични изисквания към потенциалните изпълнители и изпълнението на поръчка, ако има такива</w:t>
      </w:r>
      <w:r w:rsidR="006134F9" w:rsidRPr="00954628">
        <w:rPr>
          <w:rStyle w:val="FontStyle154"/>
          <w:b w:val="0"/>
          <w:sz w:val="22"/>
          <w:szCs w:val="22"/>
        </w:rPr>
        <w:t>.</w:t>
      </w:r>
      <w:r w:rsidR="008A288A" w:rsidRPr="00954628">
        <w:rPr>
          <w:rStyle w:val="FontStyle154"/>
          <w:b w:val="0"/>
          <w:sz w:val="22"/>
          <w:szCs w:val="22"/>
        </w:rPr>
        <w:t xml:space="preserve"> Неприложимо.</w:t>
      </w:r>
    </w:p>
    <w:p w:rsidR="003D486D" w:rsidRPr="00954628" w:rsidRDefault="003342AD" w:rsidP="00E041AE">
      <w:pPr>
        <w:pStyle w:val="Style71"/>
        <w:widowControl/>
        <w:spacing w:before="66"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t>1</w:t>
      </w:r>
      <w:r w:rsidR="00575329" w:rsidRPr="00954628">
        <w:rPr>
          <w:rStyle w:val="FontStyle154"/>
          <w:sz w:val="22"/>
          <w:szCs w:val="22"/>
        </w:rPr>
        <w:t>0</w:t>
      </w:r>
      <w:r w:rsidRPr="00954628">
        <w:rPr>
          <w:rStyle w:val="FontStyle154"/>
          <w:sz w:val="22"/>
          <w:szCs w:val="22"/>
        </w:rPr>
        <w:t xml:space="preserve">. Предложение за критерии за подбор на кандидатите или участниците </w:t>
      </w:r>
      <w:r w:rsidR="006C43AF" w:rsidRPr="00954628">
        <w:rPr>
          <w:rStyle w:val="FontStyle154"/>
          <w:sz w:val="22"/>
          <w:szCs w:val="22"/>
        </w:rPr>
        <w:t xml:space="preserve">/изисквания за правоспособност, технически и професионални способности; икономическо и финансово състояние (което е приложимо) </w:t>
      </w:r>
      <w:r w:rsidRPr="00954628">
        <w:rPr>
          <w:rStyle w:val="FontStyle154"/>
          <w:sz w:val="22"/>
          <w:szCs w:val="22"/>
        </w:rPr>
        <w:t>и за документите, с които се доказва съответствието:</w:t>
      </w:r>
    </w:p>
    <w:p w:rsidR="00CF0682" w:rsidRPr="00954628" w:rsidRDefault="00CF0682" w:rsidP="00AD5B9B">
      <w:pPr>
        <w:pStyle w:val="ListParagraph"/>
        <w:numPr>
          <w:ilvl w:val="0"/>
          <w:numId w:val="8"/>
        </w:numPr>
        <w:tabs>
          <w:tab w:val="left" w:pos="360"/>
          <w:tab w:val="left" w:pos="993"/>
        </w:tabs>
        <w:spacing w:before="120" w:after="0" w:line="276" w:lineRule="auto"/>
        <w:jc w:val="both"/>
        <w:rPr>
          <w:rFonts w:ascii="Times New Roman" w:hAnsi="Times New Roman" w:cs="Times New Roman"/>
          <w:b/>
        </w:rPr>
      </w:pPr>
      <w:r w:rsidRPr="00954628">
        <w:rPr>
          <w:rFonts w:ascii="Times New Roman" w:hAnsi="Times New Roman" w:cs="Times New Roman"/>
          <w:b/>
        </w:rPr>
        <w:t>Годност (правоспособност) за упражняване на професионална дейност на участниците</w:t>
      </w:r>
    </w:p>
    <w:p w:rsidR="00CF0682" w:rsidRPr="00954628" w:rsidRDefault="00CF0682" w:rsidP="00CF068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54628">
        <w:rPr>
          <w:rFonts w:ascii="Times New Roman" w:eastAsia="Times New Roman" w:hAnsi="Times New Roman" w:cs="Times New Roman"/>
        </w:rPr>
        <w:t>Участникът трябва да притежава Удостоверение, издадено от КРС, че лицето е вписано в регистъра по. Чл. 33, ал. 1, т. 1,  от Закона за електронните съобщения за предоставяне на следните услуги, чрез които се осъществяват обществени електрони съобщения: Пренос на данни на територията на Република България  и достъп до интернет на територията на Република България.</w:t>
      </w:r>
    </w:p>
    <w:p w:rsidR="00CF0682" w:rsidRPr="00954628" w:rsidRDefault="00CF0682" w:rsidP="00AD5B9B">
      <w:pPr>
        <w:pStyle w:val="ListParagraph"/>
        <w:numPr>
          <w:ilvl w:val="0"/>
          <w:numId w:val="8"/>
        </w:numPr>
        <w:tabs>
          <w:tab w:val="left" w:pos="360"/>
          <w:tab w:val="left" w:pos="993"/>
        </w:tabs>
        <w:spacing w:before="120" w:after="0" w:line="276" w:lineRule="auto"/>
        <w:jc w:val="both"/>
        <w:rPr>
          <w:rFonts w:ascii="Times New Roman" w:hAnsi="Times New Roman" w:cs="Times New Roman"/>
          <w:b/>
        </w:rPr>
      </w:pPr>
      <w:r w:rsidRPr="00954628">
        <w:rPr>
          <w:rFonts w:ascii="Times New Roman" w:hAnsi="Times New Roman" w:cs="Times New Roman"/>
          <w:b/>
        </w:rPr>
        <w:t>Икономическо и финансово състояние на участниците</w:t>
      </w:r>
    </w:p>
    <w:p w:rsidR="00CF0682" w:rsidRPr="00954628" w:rsidRDefault="00CF0682" w:rsidP="00CF068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54628">
        <w:rPr>
          <w:rFonts w:ascii="Times New Roman" w:eastAsia="Times New Roman" w:hAnsi="Times New Roman" w:cs="Times New Roman"/>
        </w:rPr>
        <w:t>Възложителят не поставя изисквания за икономическо и финансово състояние на участниците.</w:t>
      </w:r>
    </w:p>
    <w:p w:rsidR="00CF0682" w:rsidRPr="00954628" w:rsidRDefault="00CF0682" w:rsidP="00AD5B9B">
      <w:pPr>
        <w:pStyle w:val="ListParagraph"/>
        <w:numPr>
          <w:ilvl w:val="0"/>
          <w:numId w:val="8"/>
        </w:numPr>
        <w:tabs>
          <w:tab w:val="left" w:pos="360"/>
          <w:tab w:val="left" w:pos="993"/>
        </w:tabs>
        <w:spacing w:before="120" w:after="0" w:line="276" w:lineRule="auto"/>
        <w:jc w:val="both"/>
        <w:rPr>
          <w:rFonts w:ascii="Times New Roman" w:hAnsi="Times New Roman" w:cs="Times New Roman"/>
          <w:b/>
        </w:rPr>
      </w:pPr>
      <w:r w:rsidRPr="00954628">
        <w:rPr>
          <w:rFonts w:ascii="Times New Roman" w:hAnsi="Times New Roman" w:cs="Times New Roman"/>
          <w:b/>
        </w:rPr>
        <w:t>Изисквания към техническите и професионалните способности на участниците</w:t>
      </w:r>
    </w:p>
    <w:p w:rsidR="00CF0682" w:rsidRPr="00954628" w:rsidRDefault="00CF0682" w:rsidP="00AD5B9B">
      <w:pPr>
        <w:numPr>
          <w:ilvl w:val="1"/>
          <w:numId w:val="8"/>
        </w:numPr>
        <w:tabs>
          <w:tab w:val="left" w:pos="360"/>
        </w:tabs>
        <w:spacing w:before="120" w:after="0" w:line="276" w:lineRule="auto"/>
        <w:jc w:val="both"/>
        <w:rPr>
          <w:rFonts w:ascii="Times New Roman" w:hAnsi="Times New Roman" w:cs="Times New Roman"/>
          <w:b/>
        </w:rPr>
      </w:pPr>
      <w:r w:rsidRPr="00954628">
        <w:rPr>
          <w:rFonts w:ascii="Times New Roman" w:hAnsi="Times New Roman" w:cs="Times New Roman"/>
          <w:b/>
        </w:rPr>
        <w:t>Опит в изпълнението на доставки/услуги, идентични или сходни с предмета на поръчката</w:t>
      </w:r>
    </w:p>
    <w:p w:rsidR="00CF0682" w:rsidRPr="00954628" w:rsidRDefault="00CF0682" w:rsidP="00AD5B9B">
      <w:pPr>
        <w:numPr>
          <w:ilvl w:val="2"/>
          <w:numId w:val="8"/>
        </w:numPr>
        <w:tabs>
          <w:tab w:val="left" w:pos="360"/>
        </w:tabs>
        <w:spacing w:before="120" w:after="0" w:line="276" w:lineRule="auto"/>
        <w:ind w:left="1170" w:hanging="6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Участникът да е изпълнил минимум 1 (една) дейност с предмет, идентичен или сходен с предмета на поръчката през последните три години, считано от датата на подаване на офертата.</w:t>
      </w:r>
    </w:p>
    <w:p w:rsidR="00CF0682" w:rsidRPr="00954628" w:rsidRDefault="00CF0682" w:rsidP="00CF0682">
      <w:pPr>
        <w:spacing w:line="276" w:lineRule="auto"/>
        <w:ind w:left="117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Под „дейност, сходна с предмета на обществената поръчка“ следва да се разбира дейност, свързана с доставка на интернет (с минимална скорост 1.5 Gb/s) и защита</w:t>
      </w:r>
      <w:r w:rsidRPr="00954628">
        <w:rPr>
          <w:rFonts w:ascii="Times New Roman" w:hAnsi="Times New Roman" w:cs="Times New Roman"/>
          <w:lang w:val="en-US"/>
        </w:rPr>
        <w:t xml:space="preserve"> </w:t>
      </w:r>
      <w:r w:rsidRPr="00954628">
        <w:rPr>
          <w:rFonts w:ascii="Times New Roman" w:hAnsi="Times New Roman" w:cs="Times New Roman"/>
        </w:rPr>
        <w:t>от</w:t>
      </w:r>
      <w:r w:rsidRPr="00954628">
        <w:rPr>
          <w:rFonts w:ascii="Times New Roman" w:hAnsi="Times New Roman" w:cs="Times New Roman"/>
          <w:lang w:val="en-US"/>
        </w:rPr>
        <w:t xml:space="preserve"> </w:t>
      </w:r>
      <w:r w:rsidRPr="00954628">
        <w:rPr>
          <w:rFonts w:ascii="Times New Roman" w:hAnsi="Times New Roman" w:cs="Times New Roman"/>
        </w:rPr>
        <w:t>мрежови атаки.</w:t>
      </w:r>
    </w:p>
    <w:p w:rsidR="00CF0682" w:rsidRPr="00954628" w:rsidRDefault="00CF0682" w:rsidP="00CF0682">
      <w:pPr>
        <w:autoSpaceDE w:val="0"/>
        <w:autoSpaceDN w:val="0"/>
        <w:adjustRightInd w:val="0"/>
        <w:spacing w:line="276" w:lineRule="auto"/>
        <w:ind w:left="117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Възложителят не изисква обем на доставката.</w:t>
      </w:r>
    </w:p>
    <w:p w:rsidR="00CF0682" w:rsidRPr="00954628" w:rsidRDefault="00CF0682" w:rsidP="00CF0682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1170"/>
        <w:jc w:val="both"/>
        <w:rPr>
          <w:rFonts w:ascii="Times New Roman" w:hAnsi="Times New Roman" w:cs="Times New Roman"/>
          <w:i/>
        </w:rPr>
      </w:pPr>
      <w:r w:rsidRPr="00954628">
        <w:rPr>
          <w:rFonts w:ascii="Times New Roman" w:hAnsi="Times New Roman" w:cs="Times New Roman"/>
          <w:b/>
          <w:i/>
          <w:u w:val="single"/>
        </w:rPr>
        <w:t>Забележка</w:t>
      </w:r>
      <w:r w:rsidRPr="00954628">
        <w:rPr>
          <w:rFonts w:ascii="Times New Roman" w:hAnsi="Times New Roman" w:cs="Times New Roman"/>
          <w:b/>
          <w:u w:val="single"/>
        </w:rPr>
        <w:t>:</w:t>
      </w:r>
      <w:r w:rsidRPr="00954628">
        <w:rPr>
          <w:rFonts w:ascii="Times New Roman" w:hAnsi="Times New Roman" w:cs="Times New Roman"/>
          <w:b/>
        </w:rPr>
        <w:t xml:space="preserve"> </w:t>
      </w:r>
      <w:r w:rsidRPr="00954628">
        <w:rPr>
          <w:rFonts w:ascii="Times New Roman" w:hAnsi="Times New Roman" w:cs="Times New Roman"/>
          <w:i/>
        </w:rPr>
        <w:t>„Изпълнена“ е тази дейност, която е приключила в рамките на 3-годишния период преди датата на подаване на офертата, независимо от датата на възлагането на услугата и резултатът от нея е надлежно приет от възложителя.</w:t>
      </w:r>
    </w:p>
    <w:p w:rsidR="00CF0682" w:rsidRPr="00954628" w:rsidRDefault="00CF0682" w:rsidP="00CF0682">
      <w:pPr>
        <w:spacing w:line="276" w:lineRule="auto"/>
        <w:ind w:left="117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Информация за опита на участника се попълва в Част IV, Раздел В, за поръчки за доставки: извършени доставки от конкретния вид“ от еЕЕДОП.</w:t>
      </w:r>
    </w:p>
    <w:p w:rsidR="00CF0682" w:rsidRPr="00954628" w:rsidRDefault="00CF0682" w:rsidP="00CF0682">
      <w:pPr>
        <w:spacing w:line="276" w:lineRule="auto"/>
        <w:ind w:left="117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Съответствието с минималните изисквания по т. 3.1.1. от този раздел относно опит в изпълнението на доставки, идентични или сходни с предмета на поръчката, се установява съгласно чл. 64, ал. 1, т. 2 ЗОП.</w:t>
      </w:r>
    </w:p>
    <w:p w:rsidR="00CF0682" w:rsidRPr="00954628" w:rsidRDefault="00CF0682" w:rsidP="00AD5B9B">
      <w:pPr>
        <w:numPr>
          <w:ilvl w:val="2"/>
          <w:numId w:val="8"/>
        </w:numPr>
        <w:tabs>
          <w:tab w:val="left" w:pos="360"/>
        </w:tabs>
        <w:spacing w:before="120" w:after="0" w:line="276" w:lineRule="auto"/>
        <w:ind w:left="1170" w:hanging="6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Участникът следва да е регистриран от RIPE NCC  (https://www.ripe.net/) като LIR (Local Internet Registry) със собствена автономна система и клас С мрежа. Участникът следва да посочи линк и/или приложи разпечатка от сайта на RIPE или/и друг документ, доказващ регистрацията му в RIPE NCC.</w:t>
      </w:r>
    </w:p>
    <w:p w:rsidR="00CF0682" w:rsidRPr="00954628" w:rsidRDefault="00CF0682" w:rsidP="00AD5B9B">
      <w:pPr>
        <w:numPr>
          <w:ilvl w:val="2"/>
          <w:numId w:val="8"/>
        </w:numPr>
        <w:tabs>
          <w:tab w:val="left" w:pos="360"/>
        </w:tabs>
        <w:spacing w:before="120" w:after="0" w:line="276" w:lineRule="auto"/>
        <w:ind w:left="1170" w:hanging="6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Участникът в процедурата трябва да разполага с адресно пространство от минимум 630</w:t>
      </w:r>
      <w:r w:rsidR="00B75771">
        <w:rPr>
          <w:rFonts w:ascii="Times New Roman" w:hAnsi="Times New Roman" w:cs="Times New Roman"/>
        </w:rPr>
        <w:t xml:space="preserve"> </w:t>
      </w:r>
      <w:r w:rsidRPr="00954628">
        <w:rPr>
          <w:rFonts w:ascii="Times New Roman" w:hAnsi="Times New Roman" w:cs="Times New Roman"/>
        </w:rPr>
        <w:t>000 IP адреса. Като доказателство участникът в процедурата трябва да приложи разпечатка от сайта на RIPE.</w:t>
      </w:r>
    </w:p>
    <w:p w:rsidR="00CF0682" w:rsidRPr="00954628" w:rsidRDefault="00CF0682" w:rsidP="00AD5B9B">
      <w:pPr>
        <w:numPr>
          <w:ilvl w:val="2"/>
          <w:numId w:val="8"/>
        </w:numPr>
        <w:tabs>
          <w:tab w:val="left" w:pos="360"/>
        </w:tabs>
        <w:spacing w:before="120" w:after="0" w:line="276" w:lineRule="auto"/>
        <w:ind w:left="1170" w:hanging="6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Участникът трябва да има сключени договори с </w:t>
      </w:r>
      <w:r w:rsidR="00B75771">
        <w:rPr>
          <w:rFonts w:ascii="Times New Roman" w:hAnsi="Times New Roman" w:cs="Times New Roman"/>
        </w:rPr>
        <w:t xml:space="preserve">минимум </w:t>
      </w:r>
      <w:r w:rsidRPr="00954628">
        <w:rPr>
          <w:rFonts w:ascii="Times New Roman" w:hAnsi="Times New Roman" w:cs="Times New Roman"/>
        </w:rPr>
        <w:t>два Tier 1 интернет доставчика. Като доказателство, участникът в процедурата следва да приложи декларация, с описание на скоростите към всеки един от доставчиците.</w:t>
      </w:r>
    </w:p>
    <w:p w:rsidR="00CF0682" w:rsidRPr="00954628" w:rsidRDefault="00CF0682" w:rsidP="00AD5B9B">
      <w:pPr>
        <w:numPr>
          <w:ilvl w:val="2"/>
          <w:numId w:val="8"/>
        </w:numPr>
        <w:tabs>
          <w:tab w:val="left" w:pos="360"/>
        </w:tabs>
        <w:spacing w:before="120" w:after="0" w:line="276" w:lineRule="auto"/>
        <w:ind w:left="1170" w:hanging="6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Участникът в процедурата трябва да разполага с минимум два независими наземни двупосочни международни канала за достъп до интернет, опериращи автономно, с общ сумарен симетричен капацитет минимум 70</w:t>
      </w:r>
      <w:r w:rsidR="00B75771">
        <w:rPr>
          <w:rFonts w:ascii="Times New Roman" w:hAnsi="Times New Roman" w:cs="Times New Roman"/>
        </w:rPr>
        <w:t xml:space="preserve"> </w:t>
      </w:r>
      <w:proofErr w:type="spellStart"/>
      <w:r w:rsidRPr="00954628">
        <w:rPr>
          <w:rFonts w:ascii="Times New Roman" w:hAnsi="Times New Roman" w:cs="Times New Roman"/>
        </w:rPr>
        <w:t>Gbps</w:t>
      </w:r>
      <w:proofErr w:type="spellEnd"/>
      <w:r w:rsidRPr="00954628">
        <w:rPr>
          <w:rFonts w:ascii="Times New Roman" w:hAnsi="Times New Roman" w:cs="Times New Roman"/>
        </w:rPr>
        <w:t>. Като доказателство участникът следва да предостави декларация с приложен списък на отделните връзки, входящи и изходящи капацитети/скорости, технология на преноса и връзката, кореспондиращата Автономна система на международния доставчик.</w:t>
      </w:r>
    </w:p>
    <w:p w:rsidR="00CF0682" w:rsidRPr="00954628" w:rsidRDefault="00CF0682" w:rsidP="00AD5B9B">
      <w:pPr>
        <w:numPr>
          <w:ilvl w:val="1"/>
          <w:numId w:val="8"/>
        </w:numPr>
        <w:tabs>
          <w:tab w:val="left" w:pos="360"/>
        </w:tabs>
        <w:spacing w:before="120" w:after="0" w:line="276" w:lineRule="auto"/>
        <w:jc w:val="both"/>
        <w:rPr>
          <w:rFonts w:ascii="Times New Roman" w:hAnsi="Times New Roman" w:cs="Times New Roman"/>
          <w:b/>
        </w:rPr>
      </w:pPr>
      <w:r w:rsidRPr="00954628">
        <w:rPr>
          <w:rFonts w:ascii="Times New Roman" w:hAnsi="Times New Roman" w:cs="Times New Roman"/>
          <w:b/>
        </w:rPr>
        <w:t xml:space="preserve">Изисквания към стандарти за осигуряване на качеството и стандарти за екологично управление </w:t>
      </w:r>
    </w:p>
    <w:p w:rsidR="00CF0682" w:rsidRPr="00954628" w:rsidRDefault="00CF0682" w:rsidP="00AD5B9B">
      <w:pPr>
        <w:numPr>
          <w:ilvl w:val="2"/>
          <w:numId w:val="8"/>
        </w:numPr>
        <w:tabs>
          <w:tab w:val="left" w:pos="360"/>
        </w:tabs>
        <w:spacing w:before="120" w:after="0" w:line="276" w:lineRule="auto"/>
        <w:ind w:left="1170" w:hanging="6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Участникът следва да прилага система за управление на качеството, съответстваща на стандарт БДС ЕN ISO 9001:2015 или еквивалентен с обхват, сходен с предмета на поръчката. Поставеното изискване се доказва с копие на документ по чл. 64, ал. 1, т. 10 от ЗОП – сертификат,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установени в други държави членки.</w:t>
      </w:r>
    </w:p>
    <w:p w:rsidR="00CF0682" w:rsidRPr="00954628" w:rsidRDefault="00CF0682" w:rsidP="00CF0682">
      <w:pPr>
        <w:spacing w:line="276" w:lineRule="auto"/>
        <w:ind w:left="117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За установяване на съответствие с изискванията към стандарти за осигуряване на качеството и стандарти за екологично управление, избраният за изпълнител участник представя копие от сертификат за управление на качеството съгласно стандарт БДС ЕN ISO 9001:2015 или еквивалентен с обхват, сходен с предмета на поръчката. Когато участникът 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участникът трябва да е в състояние да докаже, че предлаганите мерки са еквивалентни на изискваните.</w:t>
      </w:r>
    </w:p>
    <w:p w:rsidR="00CF0682" w:rsidRPr="00954628" w:rsidRDefault="00CF0682" w:rsidP="00AD5B9B">
      <w:pPr>
        <w:numPr>
          <w:ilvl w:val="2"/>
          <w:numId w:val="8"/>
        </w:numPr>
        <w:tabs>
          <w:tab w:val="left" w:pos="360"/>
        </w:tabs>
        <w:spacing w:before="120" w:after="0" w:line="276" w:lineRule="auto"/>
        <w:ind w:left="1170" w:hanging="6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Участникът трябва да прилага сертифицирана система за управление на ИТ услуги, съответстваща на стандарт </w:t>
      </w:r>
      <w:r w:rsidR="00B75771">
        <w:rPr>
          <w:rFonts w:ascii="Times New Roman" w:hAnsi="Times New Roman" w:cs="Times New Roman"/>
        </w:rPr>
        <w:t xml:space="preserve">БДС </w:t>
      </w:r>
      <w:r w:rsidRPr="00954628">
        <w:rPr>
          <w:rFonts w:ascii="Times New Roman" w:hAnsi="Times New Roman" w:cs="Times New Roman"/>
        </w:rPr>
        <w:t>EN ISO/IEC 20000-1:201</w:t>
      </w:r>
      <w:r w:rsidR="003A2DD9">
        <w:rPr>
          <w:rFonts w:ascii="Times New Roman" w:hAnsi="Times New Roman" w:cs="Times New Roman"/>
          <w:lang w:val="en-US"/>
        </w:rPr>
        <w:t>1</w:t>
      </w:r>
      <w:r w:rsidRPr="00954628">
        <w:rPr>
          <w:rFonts w:ascii="Times New Roman" w:hAnsi="Times New Roman" w:cs="Times New Roman"/>
        </w:rPr>
        <w:t xml:space="preserve"> или еквивалентен с обхват, сходен с предмета на поръчката.</w:t>
      </w:r>
    </w:p>
    <w:p w:rsidR="00CF0682" w:rsidRPr="00954628" w:rsidRDefault="00CF0682" w:rsidP="00CF0682">
      <w:pPr>
        <w:spacing w:line="276" w:lineRule="auto"/>
        <w:ind w:left="117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услугите съгласно стандарта </w:t>
      </w:r>
      <w:r w:rsidR="00B75771">
        <w:rPr>
          <w:rFonts w:ascii="Times New Roman" w:hAnsi="Times New Roman" w:cs="Times New Roman"/>
        </w:rPr>
        <w:t xml:space="preserve">БДС </w:t>
      </w:r>
      <w:r w:rsidRPr="00954628">
        <w:rPr>
          <w:rFonts w:ascii="Times New Roman" w:hAnsi="Times New Roman" w:cs="Times New Roman"/>
        </w:rPr>
        <w:t>EN ISO/IEC 20000-1:201</w:t>
      </w:r>
      <w:r w:rsidR="003A2DD9">
        <w:rPr>
          <w:rFonts w:ascii="Times New Roman" w:hAnsi="Times New Roman" w:cs="Times New Roman"/>
          <w:lang w:val="en-US"/>
        </w:rPr>
        <w:t>1</w:t>
      </w:r>
      <w:r w:rsidRPr="00954628">
        <w:rPr>
          <w:rFonts w:ascii="Times New Roman" w:hAnsi="Times New Roman" w:cs="Times New Roman"/>
        </w:rPr>
        <w:t xml:space="preserve"> или еквивалентен с обхват, сходен с предмета на поръчката, </w:t>
      </w:r>
      <w:r w:rsidRPr="00954628">
        <w:rPr>
          <w:rFonts w:ascii="Times New Roman" w:eastAsia="Times New Roman" w:hAnsi="Times New Roman" w:cs="Times New Roman"/>
        </w:rPr>
        <w:t>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</w:t>
      </w:r>
      <w:r w:rsidRPr="00954628">
        <w:rPr>
          <w:rFonts w:ascii="Times New Roman" w:hAnsi="Times New Roman" w:cs="Times New Roman"/>
        </w:rPr>
        <w:t>.</w:t>
      </w:r>
    </w:p>
    <w:p w:rsidR="00CF0682" w:rsidRPr="00954628" w:rsidRDefault="00CF0682" w:rsidP="00AD5B9B">
      <w:pPr>
        <w:numPr>
          <w:ilvl w:val="2"/>
          <w:numId w:val="8"/>
        </w:numPr>
        <w:tabs>
          <w:tab w:val="left" w:pos="360"/>
        </w:tabs>
        <w:spacing w:before="120" w:after="0" w:line="276" w:lineRule="auto"/>
        <w:ind w:left="1170" w:hanging="6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Участникът трябва да прилага сертифицирана система за управление на сигурността на информацията, съответстваща на стандарт </w:t>
      </w:r>
      <w:r w:rsidR="00B75771">
        <w:rPr>
          <w:rFonts w:ascii="Times New Roman" w:hAnsi="Times New Roman" w:cs="Times New Roman"/>
        </w:rPr>
        <w:t xml:space="preserve">БДС </w:t>
      </w:r>
      <w:r w:rsidRPr="00954628">
        <w:rPr>
          <w:rFonts w:ascii="Times New Roman" w:hAnsi="Times New Roman" w:cs="Times New Roman"/>
        </w:rPr>
        <w:t>EN ISO/IEC 27001:201</w:t>
      </w:r>
      <w:r w:rsidR="003A2DD9">
        <w:rPr>
          <w:rFonts w:ascii="Times New Roman" w:hAnsi="Times New Roman" w:cs="Times New Roman"/>
          <w:lang w:val="en-US"/>
        </w:rPr>
        <w:t>3</w:t>
      </w:r>
      <w:r w:rsidRPr="00954628">
        <w:rPr>
          <w:rFonts w:ascii="Times New Roman" w:hAnsi="Times New Roman" w:cs="Times New Roman"/>
        </w:rPr>
        <w:t xml:space="preserve"> или еквивалент, с обхват сходен с предмета на поръчката.</w:t>
      </w:r>
    </w:p>
    <w:p w:rsidR="00CF0682" w:rsidRPr="00954628" w:rsidRDefault="00CF0682" w:rsidP="00CF0682">
      <w:pPr>
        <w:spacing w:line="276" w:lineRule="auto"/>
        <w:ind w:left="117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сигурността на информацията съгласно стандарта</w:t>
      </w:r>
      <w:r w:rsidR="00B75771">
        <w:rPr>
          <w:rFonts w:ascii="Times New Roman" w:hAnsi="Times New Roman" w:cs="Times New Roman"/>
        </w:rPr>
        <w:t xml:space="preserve"> БДС</w:t>
      </w:r>
      <w:r w:rsidRPr="00954628">
        <w:rPr>
          <w:rFonts w:ascii="Times New Roman" w:hAnsi="Times New Roman" w:cs="Times New Roman"/>
        </w:rPr>
        <w:t xml:space="preserve"> EN ISO/IEC 27001:201</w:t>
      </w:r>
      <w:r w:rsidR="003A2DD9">
        <w:rPr>
          <w:rFonts w:ascii="Times New Roman" w:hAnsi="Times New Roman" w:cs="Times New Roman"/>
          <w:lang w:val="en-US"/>
        </w:rPr>
        <w:t>3</w:t>
      </w:r>
      <w:r w:rsidRPr="00954628">
        <w:rPr>
          <w:rFonts w:ascii="Times New Roman" w:hAnsi="Times New Roman" w:cs="Times New Roman"/>
        </w:rPr>
        <w:t xml:space="preserve"> или еквивалентен, с обхват сходен с предмета на поръчката, </w:t>
      </w:r>
      <w:r w:rsidRPr="00954628">
        <w:rPr>
          <w:rFonts w:ascii="Times New Roman" w:eastAsia="Times New Roman" w:hAnsi="Times New Roman" w:cs="Times New Roman"/>
        </w:rPr>
        <w:t>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</w:t>
      </w:r>
      <w:r w:rsidRPr="00954628">
        <w:rPr>
          <w:rFonts w:ascii="Times New Roman" w:hAnsi="Times New Roman" w:cs="Times New Roman"/>
        </w:rPr>
        <w:t>.</w:t>
      </w:r>
    </w:p>
    <w:p w:rsidR="00CF0682" w:rsidRPr="00954628" w:rsidRDefault="00CF0682" w:rsidP="00AD5B9B">
      <w:pPr>
        <w:numPr>
          <w:ilvl w:val="1"/>
          <w:numId w:val="8"/>
        </w:numPr>
        <w:tabs>
          <w:tab w:val="left" w:pos="360"/>
        </w:tabs>
        <w:spacing w:before="120" w:after="0" w:line="276" w:lineRule="auto"/>
        <w:jc w:val="both"/>
        <w:rPr>
          <w:rFonts w:ascii="Times New Roman" w:hAnsi="Times New Roman" w:cs="Times New Roman"/>
          <w:b/>
        </w:rPr>
      </w:pPr>
      <w:r w:rsidRPr="00954628">
        <w:rPr>
          <w:rFonts w:ascii="Times New Roman" w:hAnsi="Times New Roman" w:cs="Times New Roman"/>
          <w:b/>
        </w:rPr>
        <w:t>Минимални изисквания към персонала/екипа за изпълнение на поръчката</w:t>
      </w:r>
    </w:p>
    <w:p w:rsidR="00CF0682" w:rsidRPr="00954628" w:rsidRDefault="00CF0682" w:rsidP="00CF0682">
      <w:pPr>
        <w:spacing w:before="120" w:line="276" w:lineRule="auto"/>
        <w:ind w:left="81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Участникът трябва да разполага с квалифициран екип за изпълнение на поръчката, който да включва най-малко следните видове експерти:</w:t>
      </w:r>
    </w:p>
    <w:p w:rsidR="00CF0682" w:rsidRPr="00954628" w:rsidRDefault="00CF0682" w:rsidP="00AD5B9B">
      <w:pPr>
        <w:numPr>
          <w:ilvl w:val="2"/>
          <w:numId w:val="8"/>
        </w:numPr>
        <w:tabs>
          <w:tab w:val="left" w:pos="360"/>
        </w:tabs>
        <w:spacing w:before="120" w:after="0" w:line="276" w:lineRule="auto"/>
        <w:ind w:left="1170" w:hanging="6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Ключов експерт 1: „Ръководител на проекта“ - минимум 1 експерт</w:t>
      </w:r>
    </w:p>
    <w:p w:rsidR="00CF0682" w:rsidRPr="00954628" w:rsidRDefault="00CF0682" w:rsidP="00AD5B9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5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Образование: Висше образование, образователно-квалификационна степен „</w:t>
      </w:r>
      <w:r w:rsidR="0008399E" w:rsidRPr="00954628">
        <w:rPr>
          <w:rFonts w:ascii="Times New Roman" w:hAnsi="Times New Roman" w:cs="Times New Roman"/>
        </w:rPr>
        <w:t>бакалавър</w:t>
      </w:r>
      <w:r w:rsidRPr="00954628">
        <w:rPr>
          <w:rFonts w:ascii="Times New Roman" w:hAnsi="Times New Roman" w:cs="Times New Roman"/>
        </w:rPr>
        <w:t xml:space="preserve">” </w:t>
      </w:r>
      <w:r w:rsidR="0008399E" w:rsidRPr="00954628">
        <w:rPr>
          <w:rFonts w:ascii="Times New Roman" w:hAnsi="Times New Roman" w:cs="Times New Roman"/>
        </w:rPr>
        <w:t xml:space="preserve">или по-висока </w:t>
      </w:r>
      <w:r w:rsidRPr="00954628">
        <w:rPr>
          <w:rFonts w:ascii="Times New Roman" w:hAnsi="Times New Roman" w:cs="Times New Roman"/>
        </w:rPr>
        <w:t xml:space="preserve">в една от следните области „Природни науки, математика и информатика“, „Социални, стопански и правни науки“ или „Технически науки“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954628">
        <w:rPr>
          <w:rFonts w:ascii="Times New Roman" w:hAnsi="Times New Roman" w:cs="Times New Roman"/>
          <w:i/>
          <w:iCs/>
        </w:rPr>
        <w:t>доказва се с копие от диплома</w:t>
      </w:r>
      <w:r w:rsidRPr="00954628">
        <w:rPr>
          <w:rFonts w:ascii="Times New Roman" w:hAnsi="Times New Roman" w:cs="Times New Roman"/>
        </w:rPr>
        <w:t>;</w:t>
      </w:r>
    </w:p>
    <w:p w:rsidR="00CF0682" w:rsidRPr="00954628" w:rsidRDefault="00CF0682" w:rsidP="00AD5B9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5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Специфичен професионален опит: минимум </w:t>
      </w:r>
      <w:r w:rsidR="0008399E" w:rsidRPr="00954628">
        <w:rPr>
          <w:rFonts w:ascii="Times New Roman" w:hAnsi="Times New Roman" w:cs="Times New Roman"/>
        </w:rPr>
        <w:t>2</w:t>
      </w:r>
      <w:r w:rsidRPr="00954628">
        <w:rPr>
          <w:rFonts w:ascii="Times New Roman" w:hAnsi="Times New Roman" w:cs="Times New Roman"/>
        </w:rPr>
        <w:t xml:space="preserve"> (</w:t>
      </w:r>
      <w:r w:rsidR="0008399E" w:rsidRPr="00954628">
        <w:rPr>
          <w:rFonts w:ascii="Times New Roman" w:hAnsi="Times New Roman" w:cs="Times New Roman"/>
        </w:rPr>
        <w:t>две</w:t>
      </w:r>
      <w:r w:rsidRPr="00954628">
        <w:rPr>
          <w:rFonts w:ascii="Times New Roman" w:hAnsi="Times New Roman" w:cs="Times New Roman"/>
        </w:rPr>
        <w:t>) години практически о</w:t>
      </w:r>
      <w:r w:rsidR="0008399E" w:rsidRPr="00954628">
        <w:rPr>
          <w:rFonts w:ascii="Times New Roman" w:hAnsi="Times New Roman" w:cs="Times New Roman"/>
        </w:rPr>
        <w:t>пит като ръководител на проекти</w:t>
      </w:r>
      <w:r w:rsidRPr="00954628">
        <w:rPr>
          <w:rFonts w:ascii="Times New Roman" w:hAnsi="Times New Roman" w:cs="Times New Roman"/>
        </w:rPr>
        <w:t xml:space="preserve"> – </w:t>
      </w:r>
      <w:r w:rsidRPr="00954628">
        <w:rPr>
          <w:rFonts w:ascii="Times New Roman" w:hAnsi="Times New Roman" w:cs="Times New Roman"/>
          <w:i/>
        </w:rPr>
        <w:t>доказва се със сертификати, референции от работодател/възложител или по друг еквивалентен начин</w:t>
      </w:r>
      <w:r w:rsidRPr="00954628">
        <w:rPr>
          <w:rFonts w:ascii="Times New Roman" w:hAnsi="Times New Roman" w:cs="Times New Roman"/>
        </w:rPr>
        <w:t>;</w:t>
      </w:r>
    </w:p>
    <w:p w:rsidR="00CF0682" w:rsidRPr="00954628" w:rsidRDefault="00CF0682" w:rsidP="00AD5B9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5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Сертификати: експертът трябва да притежава валиден професионален сертификат </w:t>
      </w:r>
      <w:r w:rsidRPr="00954628">
        <w:rPr>
          <w:rFonts w:ascii="Times New Roman" w:eastAsia="Courier New" w:hAnsi="Times New Roman" w:cs="Times New Roman"/>
        </w:rPr>
        <w:t xml:space="preserve">за </w:t>
      </w:r>
      <w:r w:rsidRPr="00954628">
        <w:rPr>
          <w:rFonts w:ascii="Times New Roman" w:eastAsia="Arial" w:hAnsi="Times New Roman" w:cs="Times New Roman"/>
        </w:rPr>
        <w:t xml:space="preserve">прилагане </w:t>
      </w:r>
      <w:r w:rsidRPr="00954628">
        <w:rPr>
          <w:rFonts w:ascii="Times New Roman" w:eastAsia="Courier New" w:hAnsi="Times New Roman" w:cs="Times New Roman"/>
        </w:rPr>
        <w:t xml:space="preserve">на </w:t>
      </w:r>
      <w:r w:rsidRPr="00954628">
        <w:rPr>
          <w:rFonts w:ascii="Times New Roman" w:eastAsia="Arial" w:hAnsi="Times New Roman" w:cs="Times New Roman"/>
        </w:rPr>
        <w:t>методология за управление на проекти</w:t>
      </w:r>
      <w:r w:rsidRPr="00954628">
        <w:rPr>
          <w:rFonts w:ascii="Times New Roman" w:hAnsi="Times New Roman" w:cs="Times New Roman"/>
        </w:rPr>
        <w:t xml:space="preserve">, издаден от международно призната организация за управление на проекти (Project Management Professional и/или Prince2 </w:t>
      </w:r>
      <w:r w:rsidR="0008399E" w:rsidRPr="00954628">
        <w:rPr>
          <w:rFonts w:ascii="Times New Roman" w:hAnsi="Times New Roman" w:cs="Times New Roman"/>
        </w:rPr>
        <w:t>Practitioner или еквивалентен)</w:t>
      </w:r>
      <w:r w:rsidRPr="00954628">
        <w:rPr>
          <w:rFonts w:ascii="Times New Roman" w:eastAsia="Arial" w:hAnsi="Times New Roman" w:cs="Times New Roman"/>
        </w:rPr>
        <w:t xml:space="preserve"> </w:t>
      </w:r>
      <w:r w:rsidRPr="00954628">
        <w:rPr>
          <w:rFonts w:ascii="Times New Roman" w:hAnsi="Times New Roman" w:cs="Times New Roman"/>
        </w:rPr>
        <w:t xml:space="preserve">– </w:t>
      </w:r>
      <w:r w:rsidRPr="00954628">
        <w:rPr>
          <w:rFonts w:ascii="Times New Roman" w:hAnsi="Times New Roman" w:cs="Times New Roman"/>
          <w:i/>
        </w:rPr>
        <w:t>доказва се със заверен</w:t>
      </w:r>
      <w:r w:rsidR="0008399E" w:rsidRPr="00954628">
        <w:rPr>
          <w:rFonts w:ascii="Times New Roman" w:hAnsi="Times New Roman" w:cs="Times New Roman"/>
          <w:i/>
        </w:rPr>
        <w:t>о</w:t>
      </w:r>
      <w:r w:rsidRPr="00954628">
        <w:rPr>
          <w:rFonts w:ascii="Times New Roman" w:hAnsi="Times New Roman" w:cs="Times New Roman"/>
          <w:i/>
        </w:rPr>
        <w:t xml:space="preserve"> копи</w:t>
      </w:r>
      <w:r w:rsidR="0008399E" w:rsidRPr="00954628">
        <w:rPr>
          <w:rFonts w:ascii="Times New Roman" w:hAnsi="Times New Roman" w:cs="Times New Roman"/>
          <w:i/>
        </w:rPr>
        <w:t>е</w:t>
      </w:r>
      <w:r w:rsidRPr="00954628">
        <w:rPr>
          <w:rFonts w:ascii="Times New Roman" w:hAnsi="Times New Roman" w:cs="Times New Roman"/>
          <w:i/>
        </w:rPr>
        <w:t xml:space="preserve"> от сертификат</w:t>
      </w:r>
      <w:r w:rsidR="0008399E" w:rsidRPr="00954628">
        <w:rPr>
          <w:rFonts w:ascii="Times New Roman" w:hAnsi="Times New Roman" w:cs="Times New Roman"/>
          <w:i/>
        </w:rPr>
        <w:t>а</w:t>
      </w:r>
      <w:r w:rsidRPr="00954628">
        <w:rPr>
          <w:rFonts w:ascii="Times New Roman" w:eastAsia="Arial" w:hAnsi="Times New Roman" w:cs="Times New Roman"/>
        </w:rPr>
        <w:t>;</w:t>
      </w:r>
    </w:p>
    <w:p w:rsidR="00CF0682" w:rsidRPr="00954628" w:rsidRDefault="00CF0682" w:rsidP="00AD5B9B">
      <w:pPr>
        <w:numPr>
          <w:ilvl w:val="2"/>
          <w:numId w:val="8"/>
        </w:numPr>
        <w:tabs>
          <w:tab w:val="left" w:pos="360"/>
        </w:tabs>
        <w:spacing w:before="120" w:after="0" w:line="276" w:lineRule="auto"/>
        <w:ind w:left="1170" w:hanging="6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Ключов експерт 2: „</w:t>
      </w:r>
      <w:r w:rsidR="0008399E" w:rsidRPr="00954628">
        <w:rPr>
          <w:rFonts w:ascii="Times New Roman" w:hAnsi="Times New Roman" w:cs="Times New Roman"/>
        </w:rPr>
        <w:t>Експерт мрежови технологии</w:t>
      </w:r>
      <w:r w:rsidRPr="00954628">
        <w:rPr>
          <w:rFonts w:ascii="Times New Roman" w:hAnsi="Times New Roman" w:cs="Times New Roman"/>
        </w:rPr>
        <w:t xml:space="preserve">“ - минимум </w:t>
      </w:r>
      <w:r w:rsidR="0008399E" w:rsidRPr="00954628">
        <w:rPr>
          <w:rFonts w:ascii="Times New Roman" w:hAnsi="Times New Roman" w:cs="Times New Roman"/>
        </w:rPr>
        <w:t>3</w:t>
      </w:r>
      <w:r w:rsidRPr="00954628">
        <w:rPr>
          <w:rFonts w:ascii="Times New Roman" w:hAnsi="Times New Roman" w:cs="Times New Roman"/>
        </w:rPr>
        <w:t xml:space="preserve"> експерт</w:t>
      </w:r>
      <w:r w:rsidR="0008399E" w:rsidRPr="00954628">
        <w:rPr>
          <w:rFonts w:ascii="Times New Roman" w:hAnsi="Times New Roman" w:cs="Times New Roman"/>
        </w:rPr>
        <w:t>и</w:t>
      </w:r>
    </w:p>
    <w:p w:rsidR="00CF0682" w:rsidRPr="00954628" w:rsidRDefault="00CF0682" w:rsidP="00AD5B9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5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Образование: Висше образование, образователно-квалификационна степен „</w:t>
      </w:r>
      <w:r w:rsidR="0008399E" w:rsidRPr="00954628">
        <w:rPr>
          <w:rFonts w:ascii="Times New Roman" w:hAnsi="Times New Roman" w:cs="Times New Roman"/>
        </w:rPr>
        <w:t>бакалавър</w:t>
      </w:r>
      <w:r w:rsidRPr="00954628">
        <w:rPr>
          <w:rFonts w:ascii="Times New Roman" w:hAnsi="Times New Roman" w:cs="Times New Roman"/>
        </w:rPr>
        <w:t xml:space="preserve">” </w:t>
      </w:r>
      <w:r w:rsidR="0008399E" w:rsidRPr="00954628">
        <w:rPr>
          <w:rFonts w:ascii="Times New Roman" w:hAnsi="Times New Roman" w:cs="Times New Roman"/>
        </w:rPr>
        <w:t xml:space="preserve">или по-висока </w:t>
      </w:r>
      <w:r w:rsidRPr="00954628">
        <w:rPr>
          <w:rFonts w:ascii="Times New Roman" w:hAnsi="Times New Roman" w:cs="Times New Roman"/>
        </w:rPr>
        <w:t xml:space="preserve">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954628">
        <w:rPr>
          <w:rFonts w:ascii="Times New Roman" w:hAnsi="Times New Roman" w:cs="Times New Roman"/>
          <w:i/>
          <w:iCs/>
        </w:rPr>
        <w:t>доказва се с копие от диплома</w:t>
      </w:r>
      <w:r w:rsidRPr="00954628">
        <w:rPr>
          <w:rFonts w:ascii="Times New Roman" w:hAnsi="Times New Roman" w:cs="Times New Roman"/>
        </w:rPr>
        <w:t>;</w:t>
      </w:r>
    </w:p>
    <w:p w:rsidR="00CF0682" w:rsidRPr="00954628" w:rsidRDefault="00CF0682" w:rsidP="00AD5B9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5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Специфичен професионален опит: </w:t>
      </w:r>
      <w:r w:rsidR="0008399E" w:rsidRPr="00954628">
        <w:rPr>
          <w:rFonts w:ascii="Times New Roman" w:hAnsi="Times New Roman" w:cs="Times New Roman"/>
        </w:rPr>
        <w:t>минимум 5 (пет) години практически опит</w:t>
      </w:r>
      <w:r w:rsidRPr="00954628">
        <w:rPr>
          <w:rFonts w:ascii="Times New Roman" w:hAnsi="Times New Roman" w:cs="Times New Roman"/>
        </w:rPr>
        <w:t xml:space="preserve"> </w:t>
      </w:r>
      <w:r w:rsidR="0008399E" w:rsidRPr="00954628">
        <w:rPr>
          <w:rFonts w:ascii="Times New Roman" w:hAnsi="Times New Roman" w:cs="Times New Roman"/>
        </w:rPr>
        <w:t xml:space="preserve">в областта на мрежовите технологии </w:t>
      </w:r>
      <w:r w:rsidRPr="00954628">
        <w:rPr>
          <w:rFonts w:ascii="Times New Roman" w:hAnsi="Times New Roman" w:cs="Times New Roman"/>
        </w:rPr>
        <w:t xml:space="preserve">– </w:t>
      </w:r>
      <w:r w:rsidRPr="00954628">
        <w:rPr>
          <w:rFonts w:ascii="Times New Roman" w:hAnsi="Times New Roman" w:cs="Times New Roman"/>
          <w:i/>
        </w:rPr>
        <w:t>доказва се със сертификати, референции от работодател/възложител или по друг еквивалентен начин</w:t>
      </w:r>
      <w:r w:rsidRPr="00954628">
        <w:rPr>
          <w:rFonts w:ascii="Times New Roman" w:hAnsi="Times New Roman" w:cs="Times New Roman"/>
        </w:rPr>
        <w:t>;</w:t>
      </w:r>
    </w:p>
    <w:p w:rsidR="00CF0682" w:rsidRPr="00954628" w:rsidRDefault="00CF0682" w:rsidP="00AD5B9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530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 xml:space="preserve">Сертификати: експертът трябва да притежава валиден професионален сертификат </w:t>
      </w:r>
      <w:r w:rsidR="0008399E" w:rsidRPr="00954628">
        <w:rPr>
          <w:rFonts w:ascii="Times New Roman" w:hAnsi="Times New Roman" w:cs="Times New Roman"/>
        </w:rPr>
        <w:t xml:space="preserve">CIE (Certified </w:t>
      </w:r>
      <w:r w:rsidR="0008399E" w:rsidRPr="00954628">
        <w:rPr>
          <w:rFonts w:ascii="Times New Roman" w:hAnsi="Times New Roman" w:cs="Times New Roman"/>
          <w:lang w:val="en-US"/>
        </w:rPr>
        <w:t>Intern</w:t>
      </w:r>
      <w:r w:rsidR="0008399E" w:rsidRPr="00954628">
        <w:rPr>
          <w:rFonts w:ascii="Times New Roman" w:hAnsi="Times New Roman" w:cs="Times New Roman"/>
        </w:rPr>
        <w:t>etwork Expert</w:t>
      </w:r>
      <w:r w:rsidR="0008399E" w:rsidRPr="00954628">
        <w:rPr>
          <w:rFonts w:ascii="Times New Roman" w:hAnsi="Times New Roman" w:cs="Times New Roman"/>
          <w:lang w:val="en-US"/>
        </w:rPr>
        <w:t>)</w:t>
      </w:r>
      <w:r w:rsidR="0008399E" w:rsidRPr="00954628">
        <w:rPr>
          <w:rFonts w:ascii="Times New Roman" w:hAnsi="Times New Roman" w:cs="Times New Roman"/>
        </w:rPr>
        <w:t xml:space="preserve"> или еквивалентен</w:t>
      </w:r>
      <w:r w:rsidRPr="00954628">
        <w:rPr>
          <w:rFonts w:ascii="Times New Roman" w:eastAsia="Arial" w:hAnsi="Times New Roman" w:cs="Times New Roman"/>
        </w:rPr>
        <w:t xml:space="preserve"> </w:t>
      </w:r>
      <w:r w:rsidRPr="00954628">
        <w:rPr>
          <w:rFonts w:ascii="Times New Roman" w:hAnsi="Times New Roman" w:cs="Times New Roman"/>
        </w:rPr>
        <w:t xml:space="preserve">– </w:t>
      </w:r>
      <w:r w:rsidRPr="00954628">
        <w:rPr>
          <w:rFonts w:ascii="Times New Roman" w:hAnsi="Times New Roman" w:cs="Times New Roman"/>
          <w:i/>
        </w:rPr>
        <w:t>доказва се със заверен</w:t>
      </w:r>
      <w:r w:rsidR="0008399E" w:rsidRPr="00954628">
        <w:rPr>
          <w:rFonts w:ascii="Times New Roman" w:hAnsi="Times New Roman" w:cs="Times New Roman"/>
          <w:i/>
        </w:rPr>
        <w:t>о</w:t>
      </w:r>
      <w:r w:rsidRPr="00954628">
        <w:rPr>
          <w:rFonts w:ascii="Times New Roman" w:hAnsi="Times New Roman" w:cs="Times New Roman"/>
          <w:i/>
        </w:rPr>
        <w:t xml:space="preserve"> копи</w:t>
      </w:r>
      <w:r w:rsidR="0008399E" w:rsidRPr="00954628">
        <w:rPr>
          <w:rFonts w:ascii="Times New Roman" w:hAnsi="Times New Roman" w:cs="Times New Roman"/>
          <w:i/>
        </w:rPr>
        <w:t>е</w:t>
      </w:r>
      <w:r w:rsidRPr="00954628">
        <w:rPr>
          <w:rFonts w:ascii="Times New Roman" w:hAnsi="Times New Roman" w:cs="Times New Roman"/>
          <w:i/>
        </w:rPr>
        <w:t xml:space="preserve"> от сертификат</w:t>
      </w:r>
      <w:r w:rsidR="0008399E" w:rsidRPr="00954628">
        <w:rPr>
          <w:rFonts w:ascii="Times New Roman" w:hAnsi="Times New Roman" w:cs="Times New Roman"/>
          <w:i/>
        </w:rPr>
        <w:t>а</w:t>
      </w:r>
      <w:r w:rsidRPr="00954628">
        <w:rPr>
          <w:rFonts w:ascii="Times New Roman" w:eastAsia="Arial" w:hAnsi="Times New Roman" w:cs="Times New Roman"/>
        </w:rPr>
        <w:t>;</w:t>
      </w:r>
    </w:p>
    <w:p w:rsidR="008A288A" w:rsidRPr="00954628" w:rsidRDefault="003342AD" w:rsidP="008A288A">
      <w:pPr>
        <w:pStyle w:val="Style71"/>
        <w:widowControl/>
        <w:spacing w:before="66" w:line="240" w:lineRule="auto"/>
        <w:rPr>
          <w:rStyle w:val="FontStyle154"/>
          <w:bCs w:val="0"/>
          <w:sz w:val="22"/>
          <w:szCs w:val="22"/>
        </w:rPr>
      </w:pPr>
      <w:r w:rsidRPr="00954628">
        <w:rPr>
          <w:rStyle w:val="FontStyle154"/>
          <w:sz w:val="22"/>
          <w:szCs w:val="22"/>
        </w:rPr>
        <w:t>1</w:t>
      </w:r>
      <w:r w:rsidR="00575329" w:rsidRPr="00954628">
        <w:rPr>
          <w:rStyle w:val="FontStyle154"/>
          <w:sz w:val="22"/>
          <w:szCs w:val="22"/>
        </w:rPr>
        <w:t>1</w:t>
      </w:r>
      <w:r w:rsidRPr="00954628">
        <w:rPr>
          <w:rStyle w:val="FontStyle154"/>
          <w:sz w:val="22"/>
          <w:szCs w:val="22"/>
        </w:rPr>
        <w:t xml:space="preserve">. Предложение за критерий за </w:t>
      </w:r>
      <w:r w:rsidR="006C43AF" w:rsidRPr="00954628">
        <w:rPr>
          <w:rStyle w:val="FontStyle154"/>
          <w:sz w:val="22"/>
          <w:szCs w:val="22"/>
        </w:rPr>
        <w:t>възлагане</w:t>
      </w:r>
      <w:r w:rsidRPr="00954628">
        <w:rPr>
          <w:rStyle w:val="FontStyle154"/>
          <w:sz w:val="22"/>
          <w:szCs w:val="22"/>
        </w:rPr>
        <w:t xml:space="preserve">, а при критерий </w:t>
      </w:r>
      <w:r w:rsidR="006C43AF" w:rsidRPr="00954628">
        <w:rPr>
          <w:rStyle w:val="FontStyle154"/>
          <w:sz w:val="22"/>
          <w:szCs w:val="22"/>
        </w:rPr>
        <w:t>за възлагане оптимално съотношение качество/цена: предложение за методика за определяне на комплексната оценка</w:t>
      </w:r>
      <w:r w:rsidR="00275C05" w:rsidRPr="00954628">
        <w:rPr>
          <w:rStyle w:val="FontStyle154"/>
          <w:sz w:val="22"/>
          <w:szCs w:val="22"/>
        </w:rPr>
        <w:t>:</w:t>
      </w:r>
    </w:p>
    <w:p w:rsidR="008A288A" w:rsidRPr="00954628" w:rsidRDefault="00275C05" w:rsidP="008A288A">
      <w:pPr>
        <w:pStyle w:val="NoSpacing"/>
        <w:jc w:val="both"/>
        <w:rPr>
          <w:rStyle w:val="FontStyle154"/>
          <w:b w:val="0"/>
          <w:sz w:val="22"/>
          <w:szCs w:val="22"/>
        </w:rPr>
      </w:pPr>
      <w:r w:rsidRPr="00954628">
        <w:rPr>
          <w:rStyle w:val="FontStyle154"/>
          <w:b w:val="0"/>
          <w:bCs w:val="0"/>
          <w:sz w:val="22"/>
          <w:szCs w:val="22"/>
        </w:rPr>
        <w:t>Критерий за възлагане „най-ниска цена“.</w:t>
      </w:r>
      <w:r w:rsidR="008A288A" w:rsidRPr="00954628">
        <w:rPr>
          <w:rStyle w:val="FontStyle154"/>
          <w:b w:val="0"/>
          <w:bCs w:val="0"/>
          <w:sz w:val="22"/>
          <w:szCs w:val="22"/>
        </w:rPr>
        <w:t xml:space="preserve"> </w:t>
      </w:r>
      <w:r w:rsidR="008A288A" w:rsidRPr="00954628">
        <w:rPr>
          <w:rStyle w:val="FontStyle154"/>
          <w:b w:val="0"/>
          <w:sz w:val="22"/>
          <w:szCs w:val="22"/>
        </w:rPr>
        <w:t>За целите на оценката на офертата по процедурата за сключване на договор под „най-ниска цена” се разбира най-ниската предложена обща цена от участник за изпълнение на поръчката.</w:t>
      </w:r>
    </w:p>
    <w:p w:rsidR="008A288A" w:rsidRPr="00954628" w:rsidRDefault="008A288A" w:rsidP="008A288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>На първо място се класира участникът, предложил най-ниска обща цена за изпълнение на поръчката.</w:t>
      </w:r>
    </w:p>
    <w:p w:rsidR="008A288A" w:rsidRPr="00954628" w:rsidRDefault="008A288A" w:rsidP="008A288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628">
        <w:rPr>
          <w:rFonts w:ascii="Times New Roman" w:hAnsi="Times New Roman" w:cs="Times New Roman"/>
          <w:bCs/>
        </w:rPr>
        <w:t>В случай, че най-ниската обща цена е предложена в две или повече оферти, комисията провежда публично жребий за определяне на изпълнител между класираните на първо място оферти.</w:t>
      </w:r>
    </w:p>
    <w:p w:rsidR="00275C05" w:rsidRPr="00954628" w:rsidRDefault="003342AD" w:rsidP="00E041AE">
      <w:pPr>
        <w:pStyle w:val="Style71"/>
        <w:widowControl/>
        <w:spacing w:before="66"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t>1</w:t>
      </w:r>
      <w:r w:rsidR="00575329" w:rsidRPr="00954628">
        <w:rPr>
          <w:rStyle w:val="FontStyle154"/>
          <w:sz w:val="22"/>
          <w:szCs w:val="22"/>
        </w:rPr>
        <w:t>2</w:t>
      </w:r>
      <w:r w:rsidRPr="00954628">
        <w:rPr>
          <w:rStyle w:val="FontStyle154"/>
          <w:sz w:val="22"/>
          <w:szCs w:val="22"/>
        </w:rPr>
        <w:t xml:space="preserve">. Списък на лицата, които ще бъдат поканени да подадат оферти и обосновка за техния </w:t>
      </w:r>
      <w:r w:rsidRPr="00954628">
        <w:rPr>
          <w:rStyle w:val="FontStyle154"/>
          <w:sz w:val="22"/>
          <w:szCs w:val="22"/>
        </w:rPr>
        <w:br/>
        <w:t xml:space="preserve">подбор, когато това е приложимо според вида на процедурата - попълва се за поръчки на </w:t>
      </w:r>
      <w:r w:rsidRPr="00954628">
        <w:rPr>
          <w:rStyle w:val="FontStyle154"/>
          <w:sz w:val="22"/>
          <w:szCs w:val="22"/>
        </w:rPr>
        <w:br/>
        <w:t>договаряне без обявление; за поръчки на стойност под</w:t>
      </w:r>
      <w:r w:rsidR="00574CCB" w:rsidRPr="00954628">
        <w:rPr>
          <w:rStyle w:val="FontStyle154"/>
          <w:sz w:val="22"/>
          <w:szCs w:val="22"/>
        </w:rPr>
        <w:t xml:space="preserve"> 30 000 лв. без ДДС може да се </w:t>
      </w:r>
      <w:r w:rsidRPr="00954628">
        <w:rPr>
          <w:rStyle w:val="FontStyle154"/>
          <w:sz w:val="22"/>
          <w:szCs w:val="22"/>
        </w:rPr>
        <w:br/>
        <w:t>направи предложение за изпълнител/и въз основа на направено проучване:</w:t>
      </w:r>
      <w:r w:rsidR="00275C05" w:rsidRPr="00954628">
        <w:rPr>
          <w:rStyle w:val="FontStyle154"/>
          <w:sz w:val="22"/>
          <w:szCs w:val="22"/>
        </w:rPr>
        <w:t xml:space="preserve"> </w:t>
      </w:r>
      <w:r w:rsidR="00275C05" w:rsidRPr="00954628">
        <w:rPr>
          <w:rStyle w:val="FontStyle154"/>
          <w:b w:val="0"/>
          <w:sz w:val="22"/>
          <w:szCs w:val="22"/>
        </w:rPr>
        <w:t>Неприложимо</w:t>
      </w:r>
      <w:r w:rsidR="00275C05" w:rsidRPr="00954628">
        <w:rPr>
          <w:rStyle w:val="FontStyle154"/>
          <w:sz w:val="22"/>
          <w:szCs w:val="22"/>
        </w:rPr>
        <w:t>.</w:t>
      </w:r>
    </w:p>
    <w:p w:rsidR="003D486D" w:rsidRDefault="006C43AF" w:rsidP="00E041AE">
      <w:pPr>
        <w:pStyle w:val="Style71"/>
        <w:widowControl/>
        <w:spacing w:before="66"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t>1</w:t>
      </w:r>
      <w:r w:rsidR="00575329" w:rsidRPr="00954628">
        <w:rPr>
          <w:rStyle w:val="FontStyle154"/>
          <w:sz w:val="22"/>
          <w:szCs w:val="22"/>
        </w:rPr>
        <w:t>3</w:t>
      </w:r>
      <w:r w:rsidRPr="00954628">
        <w:rPr>
          <w:rStyle w:val="FontStyle154"/>
          <w:sz w:val="22"/>
          <w:szCs w:val="22"/>
        </w:rPr>
        <w:t xml:space="preserve">. Обосновка за промяна, при обективна необходимост, в параметрите спрямо посочените в утвърдения график за обществените поръчки (попълва се само при обективна необходимост от промяна, като в случай, че промяната е свързана с финансовите </w:t>
      </w:r>
      <w:r w:rsidRPr="00954628">
        <w:rPr>
          <w:rStyle w:val="FontStyle154"/>
          <w:sz w:val="22"/>
          <w:szCs w:val="22"/>
        </w:rPr>
        <w:br/>
        <w:t>параметри, заданието се съгласува от финансовия директор и главен счетоводител чрез добавяне на текст „съгласувал" и подпис в документа):</w:t>
      </w:r>
    </w:p>
    <w:p w:rsidR="00954628" w:rsidRPr="00954628" w:rsidRDefault="00954628" w:rsidP="009546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628">
        <w:rPr>
          <w:rFonts w:ascii="Times New Roman" w:hAnsi="Times New Roman" w:cs="Times New Roman"/>
        </w:rPr>
        <w:t>С оглед спазването на изискванията</w:t>
      </w:r>
      <w:r>
        <w:rPr>
          <w:rFonts w:ascii="Times New Roman" w:hAnsi="Times New Roman" w:cs="Times New Roman"/>
        </w:rPr>
        <w:t xml:space="preserve"> на чл. 21, ал. 15 от ЗОП и необходимостта от повишаване на нивото на мрежова и информационна сигурност чрез създаване на </w:t>
      </w:r>
      <w:r w:rsidR="00611F2F">
        <w:rPr>
          <w:rFonts w:ascii="Times New Roman" w:hAnsi="Times New Roman" w:cs="Times New Roman"/>
        </w:rPr>
        <w:t xml:space="preserve">дълбоко ешалонирана киберзащита, чийто най-външен слой се явява </w:t>
      </w:r>
      <w:r w:rsidR="004E7F7B">
        <w:rPr>
          <w:rFonts w:ascii="Times New Roman" w:hAnsi="Times New Roman" w:cs="Times New Roman"/>
        </w:rPr>
        <w:t>спирането на</w:t>
      </w:r>
      <w:r w:rsidR="00611F2F">
        <w:rPr>
          <w:rFonts w:ascii="Times New Roman" w:hAnsi="Times New Roman" w:cs="Times New Roman"/>
        </w:rPr>
        <w:t xml:space="preserve"> </w:t>
      </w:r>
      <w:r w:rsidR="00611F2F" w:rsidRPr="00954628">
        <w:rPr>
          <w:rFonts w:ascii="Times New Roman" w:hAnsi="Times New Roman" w:cs="Times New Roman"/>
        </w:rPr>
        <w:t>DDoS (Distributed Denial of Service) и DoS (Denial of Service) атаки към мрежата на</w:t>
      </w:r>
      <w:r w:rsidR="00611F2F">
        <w:rPr>
          <w:rFonts w:ascii="Times New Roman" w:hAnsi="Times New Roman" w:cs="Times New Roman"/>
        </w:rPr>
        <w:t xml:space="preserve"> МВнР. Най-добра практика е </w:t>
      </w:r>
      <w:r w:rsidR="004E7F7B">
        <w:rPr>
          <w:rFonts w:ascii="Times New Roman" w:hAnsi="Times New Roman" w:cs="Times New Roman"/>
        </w:rPr>
        <w:t>прочистването на трафика</w:t>
      </w:r>
      <w:r w:rsidR="00611F2F">
        <w:rPr>
          <w:rFonts w:ascii="Times New Roman" w:hAnsi="Times New Roman" w:cs="Times New Roman"/>
        </w:rPr>
        <w:t xml:space="preserve"> да се осъществява </w:t>
      </w:r>
      <w:r w:rsidR="004E7F7B">
        <w:rPr>
          <w:rFonts w:ascii="Times New Roman" w:hAnsi="Times New Roman" w:cs="Times New Roman"/>
        </w:rPr>
        <w:t>от доставчика на интернет</w:t>
      </w:r>
      <w:r w:rsidR="00B75771">
        <w:rPr>
          <w:rFonts w:ascii="Times New Roman" w:hAnsi="Times New Roman" w:cs="Times New Roman"/>
        </w:rPr>
        <w:t xml:space="preserve"> към съответната организация</w:t>
      </w:r>
      <w:r w:rsidR="00611F2F">
        <w:rPr>
          <w:rFonts w:ascii="Times New Roman" w:hAnsi="Times New Roman" w:cs="Times New Roman"/>
        </w:rPr>
        <w:t>.</w:t>
      </w:r>
    </w:p>
    <w:p w:rsidR="00836446" w:rsidRPr="00954628" w:rsidRDefault="007D548A" w:rsidP="00E041AE">
      <w:pPr>
        <w:pStyle w:val="Style71"/>
        <w:widowControl/>
        <w:spacing w:before="66"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t>1</w:t>
      </w:r>
      <w:r w:rsidR="00575329" w:rsidRPr="00954628">
        <w:rPr>
          <w:rStyle w:val="FontStyle154"/>
          <w:sz w:val="22"/>
          <w:szCs w:val="22"/>
        </w:rPr>
        <w:t>4</w:t>
      </w:r>
      <w:r w:rsidRPr="00954628">
        <w:rPr>
          <w:rStyle w:val="FontStyle154"/>
          <w:sz w:val="22"/>
          <w:szCs w:val="22"/>
        </w:rPr>
        <w:t>. Информация за съдържаща се класифицирана информация</w:t>
      </w:r>
      <w:r w:rsidR="00275C05" w:rsidRPr="00954628">
        <w:rPr>
          <w:rStyle w:val="FontStyle154"/>
          <w:sz w:val="22"/>
          <w:szCs w:val="22"/>
        </w:rPr>
        <w:t>:</w:t>
      </w:r>
      <w:r w:rsidR="008A288A" w:rsidRPr="00954628">
        <w:rPr>
          <w:rStyle w:val="FontStyle154"/>
          <w:sz w:val="22"/>
          <w:szCs w:val="22"/>
        </w:rPr>
        <w:t xml:space="preserve"> </w:t>
      </w:r>
      <w:r w:rsidR="008A288A" w:rsidRPr="00954628">
        <w:rPr>
          <w:rStyle w:val="FontStyle154"/>
          <w:b w:val="0"/>
          <w:sz w:val="22"/>
          <w:szCs w:val="22"/>
        </w:rPr>
        <w:t>Няма</w:t>
      </w:r>
      <w:r w:rsidR="008A288A" w:rsidRPr="00954628">
        <w:rPr>
          <w:rStyle w:val="FontStyle154"/>
          <w:sz w:val="22"/>
          <w:szCs w:val="22"/>
        </w:rPr>
        <w:t>.</w:t>
      </w:r>
    </w:p>
    <w:p w:rsidR="003D486D" w:rsidRPr="00954628" w:rsidRDefault="003D58A6" w:rsidP="00E041AE">
      <w:pPr>
        <w:pStyle w:val="Style71"/>
        <w:widowControl/>
        <w:spacing w:before="66" w:line="240" w:lineRule="auto"/>
        <w:rPr>
          <w:rStyle w:val="FontStyle154"/>
          <w:sz w:val="22"/>
          <w:szCs w:val="22"/>
        </w:rPr>
      </w:pPr>
      <w:r w:rsidRPr="00954628">
        <w:rPr>
          <w:rStyle w:val="FontStyle154"/>
          <w:sz w:val="22"/>
          <w:szCs w:val="22"/>
        </w:rPr>
        <w:t>1</w:t>
      </w:r>
      <w:r w:rsidR="00575329" w:rsidRPr="00954628">
        <w:rPr>
          <w:rStyle w:val="FontStyle154"/>
          <w:sz w:val="22"/>
          <w:szCs w:val="22"/>
        </w:rPr>
        <w:t>5</w:t>
      </w:r>
      <w:r w:rsidR="002B61C6" w:rsidRPr="00954628">
        <w:rPr>
          <w:rStyle w:val="FontStyle154"/>
          <w:sz w:val="22"/>
          <w:szCs w:val="22"/>
        </w:rPr>
        <w:t>. Финансиране</w:t>
      </w:r>
      <w:r w:rsidR="008A288A" w:rsidRPr="00954628">
        <w:rPr>
          <w:rStyle w:val="FontStyle154"/>
          <w:sz w:val="22"/>
          <w:szCs w:val="22"/>
        </w:rPr>
        <w:t>:</w:t>
      </w:r>
    </w:p>
    <w:p w:rsidR="008A288A" w:rsidRPr="00954628" w:rsidRDefault="008A288A" w:rsidP="008A288A">
      <w:pPr>
        <w:pStyle w:val="Style71"/>
        <w:widowControl/>
        <w:spacing w:after="120" w:line="240" w:lineRule="auto"/>
        <w:rPr>
          <w:rStyle w:val="FontStyle154"/>
          <w:b w:val="0"/>
          <w:sz w:val="22"/>
          <w:szCs w:val="22"/>
        </w:rPr>
      </w:pPr>
      <w:r w:rsidRPr="00954628">
        <w:rPr>
          <w:rStyle w:val="FontStyle154"/>
          <w:b w:val="0"/>
          <w:sz w:val="22"/>
          <w:szCs w:val="22"/>
        </w:rPr>
        <w:t>Финансирането е със собствени средства от бюджет на МВнР.</w:t>
      </w:r>
    </w:p>
    <w:p w:rsidR="004F317E" w:rsidRPr="00954628" w:rsidRDefault="002B61C6" w:rsidP="00E041AE">
      <w:pPr>
        <w:pStyle w:val="Style71"/>
        <w:widowControl/>
        <w:spacing w:before="66" w:line="240" w:lineRule="auto"/>
        <w:rPr>
          <w:rStyle w:val="FontStyle154"/>
          <w:b w:val="0"/>
          <w:sz w:val="22"/>
          <w:szCs w:val="22"/>
        </w:rPr>
      </w:pPr>
      <w:r w:rsidRPr="00954628">
        <w:rPr>
          <w:rStyle w:val="FontStyle154"/>
          <w:sz w:val="22"/>
          <w:szCs w:val="22"/>
        </w:rPr>
        <w:t xml:space="preserve">16. </w:t>
      </w:r>
      <w:r w:rsidR="003D58A6" w:rsidRPr="00954628">
        <w:rPr>
          <w:rStyle w:val="FontStyle154"/>
          <w:sz w:val="22"/>
          <w:szCs w:val="22"/>
        </w:rPr>
        <w:t>Други документи и информация, необходими, за определяне характеристиките на поръчката и реда за провеждане на избора на изпълнител</w:t>
      </w:r>
      <w:r w:rsidR="00275C05" w:rsidRPr="00954628">
        <w:rPr>
          <w:rStyle w:val="FontStyle154"/>
          <w:sz w:val="22"/>
          <w:szCs w:val="22"/>
        </w:rPr>
        <w:t>:</w:t>
      </w:r>
      <w:r w:rsidR="006134F9" w:rsidRPr="00954628">
        <w:rPr>
          <w:rStyle w:val="FontStyle154"/>
          <w:sz w:val="22"/>
          <w:szCs w:val="22"/>
          <w:lang w:val="en-US"/>
        </w:rPr>
        <w:t xml:space="preserve"> </w:t>
      </w:r>
      <w:r w:rsidR="006134F9" w:rsidRPr="00954628">
        <w:rPr>
          <w:rStyle w:val="FontStyle154"/>
          <w:b w:val="0"/>
          <w:sz w:val="22"/>
          <w:szCs w:val="22"/>
        </w:rPr>
        <w:t>Няма.</w:t>
      </w:r>
    </w:p>
    <w:p w:rsidR="004C66B5" w:rsidRPr="00954628" w:rsidRDefault="004C66B5" w:rsidP="004C66B5">
      <w:pPr>
        <w:pStyle w:val="Style71"/>
        <w:widowControl/>
        <w:spacing w:before="600" w:after="600" w:line="240" w:lineRule="auto"/>
        <w:ind w:left="5314"/>
        <w:rPr>
          <w:rStyle w:val="FontStyle154"/>
          <w:b w:val="0"/>
          <w:sz w:val="22"/>
          <w:szCs w:val="22"/>
        </w:rPr>
      </w:pPr>
      <w:r w:rsidRPr="00954628">
        <w:rPr>
          <w:rStyle w:val="FontStyle154"/>
          <w:b w:val="0"/>
          <w:sz w:val="22"/>
          <w:szCs w:val="22"/>
        </w:rPr>
        <w:t>Изготвил:</w:t>
      </w:r>
    </w:p>
    <w:p w:rsidR="004C66B5" w:rsidRPr="00954628" w:rsidRDefault="004C66B5" w:rsidP="00092730">
      <w:pPr>
        <w:pStyle w:val="Style71"/>
        <w:widowControl/>
        <w:spacing w:before="66" w:line="240" w:lineRule="auto"/>
        <w:ind w:left="6480"/>
        <w:rPr>
          <w:rStyle w:val="FontStyle154"/>
          <w:b w:val="0"/>
          <w:sz w:val="22"/>
          <w:szCs w:val="22"/>
        </w:rPr>
      </w:pPr>
      <w:r w:rsidRPr="00954628">
        <w:rPr>
          <w:rStyle w:val="FontStyle154"/>
          <w:b w:val="0"/>
          <w:sz w:val="22"/>
          <w:szCs w:val="22"/>
        </w:rPr>
        <w:t>Николай Томов</w:t>
      </w:r>
    </w:p>
    <w:p w:rsidR="004C66B5" w:rsidRPr="00954628" w:rsidRDefault="00092730" w:rsidP="00092730">
      <w:pPr>
        <w:pStyle w:val="Style71"/>
        <w:widowControl/>
        <w:spacing w:before="66" w:line="240" w:lineRule="auto"/>
        <w:ind w:left="6480"/>
        <w:rPr>
          <w:rStyle w:val="FontStyle154"/>
          <w:sz w:val="22"/>
          <w:szCs w:val="22"/>
        </w:rPr>
      </w:pPr>
      <w:r w:rsidRPr="00954628">
        <w:rPr>
          <w:rStyle w:val="FontStyle154"/>
          <w:b w:val="0"/>
          <w:sz w:val="22"/>
          <w:szCs w:val="22"/>
        </w:rPr>
        <w:t xml:space="preserve">Външен експерт по договор </w:t>
      </w:r>
      <w:r w:rsidR="004C66B5" w:rsidRPr="00954628">
        <w:rPr>
          <w:sz w:val="22"/>
          <w:szCs w:val="22"/>
        </w:rPr>
        <w:t>№ 74/ОП-Д/</w:t>
      </w:r>
      <w:r w:rsidRPr="00954628">
        <w:rPr>
          <w:sz w:val="22"/>
          <w:szCs w:val="22"/>
        </w:rPr>
        <w:t>20</w:t>
      </w:r>
      <w:r w:rsidR="004C66B5" w:rsidRPr="00954628">
        <w:rPr>
          <w:sz w:val="22"/>
          <w:szCs w:val="22"/>
        </w:rPr>
        <w:t>19</w:t>
      </w:r>
    </w:p>
    <w:sectPr w:rsidR="004C66B5" w:rsidRPr="00954628" w:rsidSect="002D296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19" w:rsidRDefault="00E41719" w:rsidP="00621592">
      <w:pPr>
        <w:spacing w:after="0" w:line="240" w:lineRule="auto"/>
      </w:pPr>
      <w:r>
        <w:separator/>
      </w:r>
    </w:p>
  </w:endnote>
  <w:endnote w:type="continuationSeparator" w:id="0">
    <w:p w:rsidR="00E41719" w:rsidRDefault="00E41719" w:rsidP="0062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92" w:rsidRDefault="002D2964" w:rsidP="002D2964">
    <w:pPr>
      <w:pStyle w:val="Footer"/>
      <w:jc w:val="center"/>
    </w:pPr>
    <w:proofErr w:type="spellStart"/>
    <w:r w:rsidRPr="001105E3">
      <w:rPr>
        <w:rFonts w:ascii="Times New Roman" w:hAnsi="Times New Roman"/>
      </w:rPr>
      <w:t>Страница</w:t>
    </w:r>
    <w:proofErr w:type="spellEnd"/>
    <w:r w:rsidRPr="001105E3">
      <w:rPr>
        <w:rFonts w:ascii="Times New Roman" w:hAnsi="Times New Roman"/>
      </w:rPr>
      <w:t xml:space="preserve"> </w:t>
    </w:r>
    <w:r w:rsidRPr="001105E3">
      <w:rPr>
        <w:rFonts w:ascii="Times New Roman" w:hAnsi="Times New Roman"/>
        <w:bCs/>
      </w:rPr>
      <w:fldChar w:fldCharType="begin"/>
    </w:r>
    <w:r w:rsidRPr="001105E3">
      <w:rPr>
        <w:rFonts w:ascii="Times New Roman" w:hAnsi="Times New Roman"/>
        <w:bCs/>
      </w:rPr>
      <w:instrText xml:space="preserve"> PAGE </w:instrText>
    </w:r>
    <w:r w:rsidRPr="001105E3">
      <w:rPr>
        <w:rFonts w:ascii="Times New Roman" w:hAnsi="Times New Roman"/>
        <w:bCs/>
      </w:rPr>
      <w:fldChar w:fldCharType="separate"/>
    </w:r>
    <w:r w:rsidR="003C6024">
      <w:rPr>
        <w:rFonts w:ascii="Times New Roman" w:hAnsi="Times New Roman"/>
        <w:bCs/>
        <w:noProof/>
      </w:rPr>
      <w:t>6</w:t>
    </w:r>
    <w:r w:rsidRPr="001105E3">
      <w:rPr>
        <w:rFonts w:ascii="Times New Roman" w:hAnsi="Times New Roman"/>
        <w:bCs/>
      </w:rPr>
      <w:fldChar w:fldCharType="end"/>
    </w:r>
    <w:r w:rsidRPr="001105E3">
      <w:rPr>
        <w:rFonts w:ascii="Times New Roman" w:hAnsi="Times New Roman"/>
      </w:rPr>
      <w:t xml:space="preserve"> </w:t>
    </w:r>
    <w:proofErr w:type="spellStart"/>
    <w:r w:rsidRPr="001105E3">
      <w:rPr>
        <w:rFonts w:ascii="Times New Roman" w:hAnsi="Times New Roman"/>
      </w:rPr>
      <w:t>от</w:t>
    </w:r>
    <w:proofErr w:type="spellEnd"/>
    <w:r w:rsidRPr="001105E3">
      <w:rPr>
        <w:rFonts w:ascii="Times New Roman" w:hAnsi="Times New Roman"/>
      </w:rPr>
      <w:t xml:space="preserve"> </w:t>
    </w:r>
    <w:r w:rsidRPr="001105E3">
      <w:rPr>
        <w:rFonts w:ascii="Times New Roman" w:hAnsi="Times New Roman"/>
        <w:bCs/>
      </w:rPr>
      <w:fldChar w:fldCharType="begin"/>
    </w:r>
    <w:r w:rsidRPr="001105E3">
      <w:rPr>
        <w:rFonts w:ascii="Times New Roman" w:hAnsi="Times New Roman"/>
        <w:bCs/>
      </w:rPr>
      <w:instrText xml:space="preserve"> NUMPAGES  </w:instrText>
    </w:r>
    <w:r w:rsidRPr="001105E3">
      <w:rPr>
        <w:rFonts w:ascii="Times New Roman" w:hAnsi="Times New Roman"/>
        <w:bCs/>
      </w:rPr>
      <w:fldChar w:fldCharType="separate"/>
    </w:r>
    <w:r w:rsidR="003C6024">
      <w:rPr>
        <w:rFonts w:ascii="Times New Roman" w:hAnsi="Times New Roman"/>
        <w:bCs/>
        <w:noProof/>
      </w:rPr>
      <w:t>6</w:t>
    </w:r>
    <w:r w:rsidRPr="001105E3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19" w:rsidRDefault="00E41719" w:rsidP="00621592">
      <w:pPr>
        <w:spacing w:after="0" w:line="240" w:lineRule="auto"/>
      </w:pPr>
      <w:r>
        <w:separator/>
      </w:r>
    </w:p>
  </w:footnote>
  <w:footnote w:type="continuationSeparator" w:id="0">
    <w:p w:rsidR="00E41719" w:rsidRDefault="00E41719" w:rsidP="0062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C39"/>
    <w:multiLevelType w:val="multilevel"/>
    <w:tmpl w:val="1F880C2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3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" w15:restartNumberingAfterBreak="0">
    <w:nsid w:val="040C65C2"/>
    <w:multiLevelType w:val="multilevel"/>
    <w:tmpl w:val="73FACFC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9ED7878"/>
    <w:multiLevelType w:val="hybridMultilevel"/>
    <w:tmpl w:val="E2C2A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42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B00CE0"/>
    <w:multiLevelType w:val="hybridMultilevel"/>
    <w:tmpl w:val="FB6AA828"/>
    <w:lvl w:ilvl="0" w:tplc="7B4690DA">
      <w:start w:val="1"/>
      <w:numFmt w:val="decimal"/>
      <w:pStyle w:val="Heading7"/>
      <w:lvlText w:val="%1."/>
      <w:lvlJc w:val="left"/>
      <w:pPr>
        <w:ind w:left="502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5CCF4626"/>
    <w:multiLevelType w:val="hybridMultilevel"/>
    <w:tmpl w:val="CA4E9F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E0FC2"/>
    <w:multiLevelType w:val="hybridMultilevel"/>
    <w:tmpl w:val="66B6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1666D"/>
    <w:multiLevelType w:val="multilevel"/>
    <w:tmpl w:val="1F880C2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3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AD"/>
    <w:rsid w:val="000570D9"/>
    <w:rsid w:val="0008399E"/>
    <w:rsid w:val="00092730"/>
    <w:rsid w:val="000C11C9"/>
    <w:rsid w:val="000C4177"/>
    <w:rsid w:val="000E0958"/>
    <w:rsid w:val="00154E44"/>
    <w:rsid w:val="001628FF"/>
    <w:rsid w:val="0017253D"/>
    <w:rsid w:val="00192925"/>
    <w:rsid w:val="001E64E7"/>
    <w:rsid w:val="00232BBD"/>
    <w:rsid w:val="00270701"/>
    <w:rsid w:val="00272DEC"/>
    <w:rsid w:val="00275C05"/>
    <w:rsid w:val="002A0467"/>
    <w:rsid w:val="002A487C"/>
    <w:rsid w:val="002B0D2A"/>
    <w:rsid w:val="002B61C6"/>
    <w:rsid w:val="002C6305"/>
    <w:rsid w:val="002D2964"/>
    <w:rsid w:val="00315BC7"/>
    <w:rsid w:val="00316074"/>
    <w:rsid w:val="00333B49"/>
    <w:rsid w:val="003342AD"/>
    <w:rsid w:val="0033616A"/>
    <w:rsid w:val="0034012D"/>
    <w:rsid w:val="003629AF"/>
    <w:rsid w:val="00376465"/>
    <w:rsid w:val="003A2DD9"/>
    <w:rsid w:val="003C6024"/>
    <w:rsid w:val="003D486D"/>
    <w:rsid w:val="003D58A6"/>
    <w:rsid w:val="004309E3"/>
    <w:rsid w:val="004A367E"/>
    <w:rsid w:val="004A3801"/>
    <w:rsid w:val="004B0F1D"/>
    <w:rsid w:val="004C098C"/>
    <w:rsid w:val="004C66B5"/>
    <w:rsid w:val="004E7F7B"/>
    <w:rsid w:val="004F317E"/>
    <w:rsid w:val="00515B84"/>
    <w:rsid w:val="00535122"/>
    <w:rsid w:val="00574CCB"/>
    <w:rsid w:val="00575329"/>
    <w:rsid w:val="005936E7"/>
    <w:rsid w:val="0059573F"/>
    <w:rsid w:val="005B23C3"/>
    <w:rsid w:val="005D7180"/>
    <w:rsid w:val="005E2357"/>
    <w:rsid w:val="00611F2F"/>
    <w:rsid w:val="006134F9"/>
    <w:rsid w:val="00621592"/>
    <w:rsid w:val="00665BCF"/>
    <w:rsid w:val="006A76F0"/>
    <w:rsid w:val="006B47F2"/>
    <w:rsid w:val="006C43AF"/>
    <w:rsid w:val="006D1934"/>
    <w:rsid w:val="006E55AD"/>
    <w:rsid w:val="006E6BAA"/>
    <w:rsid w:val="00737BB4"/>
    <w:rsid w:val="007450E3"/>
    <w:rsid w:val="00755197"/>
    <w:rsid w:val="00764D15"/>
    <w:rsid w:val="007744F3"/>
    <w:rsid w:val="007D548A"/>
    <w:rsid w:val="007E121E"/>
    <w:rsid w:val="00807CD7"/>
    <w:rsid w:val="00836446"/>
    <w:rsid w:val="008771CF"/>
    <w:rsid w:val="00880E32"/>
    <w:rsid w:val="008A288A"/>
    <w:rsid w:val="008C47AD"/>
    <w:rsid w:val="00911057"/>
    <w:rsid w:val="0092180B"/>
    <w:rsid w:val="00930C87"/>
    <w:rsid w:val="00940FED"/>
    <w:rsid w:val="00954628"/>
    <w:rsid w:val="009C1D41"/>
    <w:rsid w:val="009C417D"/>
    <w:rsid w:val="009D53F9"/>
    <w:rsid w:val="009E1EA7"/>
    <w:rsid w:val="009E467F"/>
    <w:rsid w:val="009E66E8"/>
    <w:rsid w:val="00A01E18"/>
    <w:rsid w:val="00A551D6"/>
    <w:rsid w:val="00A75D86"/>
    <w:rsid w:val="00AD5B9B"/>
    <w:rsid w:val="00B07175"/>
    <w:rsid w:val="00B75771"/>
    <w:rsid w:val="00B90D3A"/>
    <w:rsid w:val="00BB02BD"/>
    <w:rsid w:val="00BC7595"/>
    <w:rsid w:val="00CB2F99"/>
    <w:rsid w:val="00CB5568"/>
    <w:rsid w:val="00CF0682"/>
    <w:rsid w:val="00D53B16"/>
    <w:rsid w:val="00D94970"/>
    <w:rsid w:val="00DC704C"/>
    <w:rsid w:val="00E041AE"/>
    <w:rsid w:val="00E33440"/>
    <w:rsid w:val="00E41719"/>
    <w:rsid w:val="00E454A9"/>
    <w:rsid w:val="00E7559C"/>
    <w:rsid w:val="00EB7A4E"/>
    <w:rsid w:val="00EE54E7"/>
    <w:rsid w:val="00EE570E"/>
    <w:rsid w:val="00F662A9"/>
    <w:rsid w:val="00FB0F19"/>
    <w:rsid w:val="00F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C59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0FED"/>
    <w:pPr>
      <w:keepNext/>
      <w:pageBreakBefore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40FED"/>
    <w:pPr>
      <w:numPr>
        <w:ilvl w:val="2"/>
        <w:numId w:val="1"/>
      </w:numPr>
      <w:spacing w:before="60" w:after="60" w:line="240" w:lineRule="auto"/>
      <w:outlineLvl w:val="2"/>
    </w:pPr>
    <w:rPr>
      <w:rFonts w:ascii="Arial" w:eastAsia="Times New Roman" w:hAnsi="Arial" w:cs="Arial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40FED"/>
    <w:pPr>
      <w:keepNext/>
      <w:numPr>
        <w:ilvl w:val="3"/>
        <w:numId w:val="1"/>
      </w:numPr>
      <w:spacing w:before="120" w:after="0" w:line="240" w:lineRule="auto"/>
      <w:outlineLvl w:val="3"/>
    </w:pPr>
    <w:rPr>
      <w:rFonts w:ascii="Arial" w:eastAsia="Times New Roman" w:hAnsi="Arial" w:cs="Arial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40FE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Arial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40FE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40FED"/>
    <w:pPr>
      <w:numPr>
        <w:numId w:val="2"/>
      </w:numPr>
      <w:tabs>
        <w:tab w:val="num" w:pos="4680"/>
      </w:tabs>
      <w:spacing w:before="240" w:after="60" w:line="240" w:lineRule="auto"/>
      <w:ind w:left="4320" w:firstLine="0"/>
      <w:outlineLvl w:val="6"/>
    </w:pPr>
    <w:rPr>
      <w:rFonts w:ascii="Arial" w:eastAsia="Times New Roman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940FED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940FE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3342AD"/>
    <w:pPr>
      <w:widowControl w:val="0"/>
      <w:autoSpaceDE w:val="0"/>
      <w:autoSpaceDN w:val="0"/>
      <w:adjustRightInd w:val="0"/>
      <w:spacing w:after="0" w:line="34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11">
    <w:name w:val="Style11"/>
    <w:basedOn w:val="Normal"/>
    <w:uiPriority w:val="99"/>
    <w:rsid w:val="00334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71">
    <w:name w:val="Style71"/>
    <w:basedOn w:val="Normal"/>
    <w:uiPriority w:val="99"/>
    <w:rsid w:val="003342A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73">
    <w:name w:val="Style73"/>
    <w:basedOn w:val="Normal"/>
    <w:uiPriority w:val="99"/>
    <w:rsid w:val="003342A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96">
    <w:name w:val="Style96"/>
    <w:basedOn w:val="Normal"/>
    <w:uiPriority w:val="99"/>
    <w:rsid w:val="00334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14">
    <w:name w:val="Font Style114"/>
    <w:basedOn w:val="DefaultParagraphFont"/>
    <w:uiPriority w:val="99"/>
    <w:rsid w:val="003342A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0">
    <w:name w:val="Font Style120"/>
    <w:basedOn w:val="DefaultParagraphFont"/>
    <w:uiPriority w:val="99"/>
    <w:rsid w:val="003342AD"/>
    <w:rPr>
      <w:rFonts w:ascii="Times New Roman" w:hAnsi="Times New Roman" w:cs="Times New Roman"/>
      <w:sz w:val="16"/>
      <w:szCs w:val="16"/>
    </w:rPr>
  </w:style>
  <w:style w:type="character" w:customStyle="1" w:styleId="FontStyle122">
    <w:name w:val="Font Style122"/>
    <w:basedOn w:val="DefaultParagraphFont"/>
    <w:uiPriority w:val="99"/>
    <w:rsid w:val="003342AD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43">
    <w:name w:val="Font Style143"/>
    <w:basedOn w:val="DefaultParagraphFont"/>
    <w:uiPriority w:val="99"/>
    <w:rsid w:val="003342AD"/>
    <w:rPr>
      <w:rFonts w:ascii="Corbel" w:hAnsi="Corbel" w:cs="Corbel"/>
      <w:sz w:val="16"/>
      <w:szCs w:val="16"/>
    </w:rPr>
  </w:style>
  <w:style w:type="character" w:customStyle="1" w:styleId="FontStyle153">
    <w:name w:val="Font Style153"/>
    <w:basedOn w:val="DefaultParagraphFont"/>
    <w:uiPriority w:val="99"/>
    <w:rsid w:val="003342AD"/>
    <w:rPr>
      <w:rFonts w:ascii="Times New Roman" w:hAnsi="Times New Roman" w:cs="Times New Roman"/>
      <w:b/>
      <w:bCs/>
      <w:spacing w:val="110"/>
      <w:sz w:val="32"/>
      <w:szCs w:val="32"/>
    </w:rPr>
  </w:style>
  <w:style w:type="character" w:customStyle="1" w:styleId="FontStyle154">
    <w:name w:val="Font Style154"/>
    <w:basedOn w:val="DefaultParagraphFont"/>
    <w:uiPriority w:val="99"/>
    <w:rsid w:val="003342A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33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3B4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76F0"/>
    <w:pPr>
      <w:tabs>
        <w:tab w:val="center" w:pos="4536"/>
        <w:tab w:val="right" w:pos="9072"/>
      </w:tabs>
      <w:spacing w:after="0" w:line="240" w:lineRule="auto"/>
    </w:pPr>
    <w:rPr>
      <w:rFonts w:ascii="Arial Narrow" w:eastAsiaTheme="minorEastAsia" w:hAnsi="Arial Narrow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A76F0"/>
    <w:rPr>
      <w:rFonts w:ascii="Arial Narrow" w:eastAsiaTheme="minorEastAsia" w:hAnsi="Arial Narrow"/>
      <w:lang w:val="en-US"/>
    </w:rPr>
  </w:style>
  <w:style w:type="table" w:styleId="TableGrid">
    <w:name w:val="Table Grid"/>
    <w:basedOn w:val="TableNormal"/>
    <w:uiPriority w:val="59"/>
    <w:rsid w:val="006A76F0"/>
    <w:pPr>
      <w:spacing w:after="0" w:line="240" w:lineRule="auto"/>
    </w:pPr>
    <w:rPr>
      <w:rFonts w:ascii="Arial Narrow" w:eastAsiaTheme="minorEastAsia" w:hAnsi="Arial Narro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75C05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275C05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75C05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940FED"/>
    <w:rPr>
      <w:rFonts w:ascii="Arial" w:eastAsia="Times New Roman" w:hAnsi="Arial" w:cs="Arial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40FED"/>
    <w:rPr>
      <w:rFonts w:ascii="Arial" w:eastAsia="Times New Roman" w:hAnsi="Arial" w:cs="Arial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40FED"/>
    <w:rPr>
      <w:rFonts w:ascii="Arial" w:eastAsia="Times New Roman" w:hAnsi="Arial" w:cs="Arial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40FED"/>
    <w:rPr>
      <w:rFonts w:ascii="Arial" w:eastAsia="Times New Roman" w:hAnsi="Arial" w:cs="Arial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40FED"/>
    <w:rPr>
      <w:rFonts w:ascii="Arial" w:eastAsia="Times New Roman" w:hAnsi="Arial" w:cs="Arial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40FED"/>
    <w:rPr>
      <w:rFonts w:ascii="Arial" w:eastAsia="Times New Roman" w:hAnsi="Arial" w:cs="Arial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40FED"/>
    <w:rPr>
      <w:rFonts w:ascii="Arial" w:eastAsia="Times New Roman" w:hAnsi="Arial" w:cs="Arial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40FED"/>
    <w:rPr>
      <w:rFonts w:ascii="Arial" w:eastAsia="Times New Roman" w:hAnsi="Arial" w:cs="Arial"/>
      <w:b/>
      <w:i/>
      <w:sz w:val="18"/>
      <w:szCs w:val="20"/>
      <w:lang w:val="en-US"/>
    </w:rPr>
  </w:style>
  <w:style w:type="paragraph" w:customStyle="1" w:styleId="ColorfulList-Accent11">
    <w:name w:val="Colorful List - Accent 11"/>
    <w:basedOn w:val="Normal"/>
    <w:qFormat/>
    <w:rsid w:val="00940FED"/>
    <w:pPr>
      <w:spacing w:after="200" w:line="276" w:lineRule="auto"/>
      <w:ind w:left="720"/>
      <w:contextualSpacing/>
    </w:pPr>
    <w:rPr>
      <w:rFonts w:ascii="Times New Roman" w:eastAsia="SimSun" w:hAnsi="Times New Roman" w:cs="Times New Roman"/>
    </w:rPr>
  </w:style>
  <w:style w:type="character" w:styleId="Hyperlink">
    <w:name w:val="Hyperlink"/>
    <w:rsid w:val="00940FED"/>
    <w:rPr>
      <w:rFonts w:ascii="Times New Roman" w:eastAsia="SimSun" w:hAnsi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40FED"/>
    <w:rPr>
      <w:rFonts w:ascii="Times New Roman" w:eastAsia="SimSun" w:hAnsi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ED"/>
    <w:pPr>
      <w:spacing w:after="200" w:line="276" w:lineRule="auto"/>
    </w:pPr>
    <w:rPr>
      <w:rFonts w:ascii="Calibri" w:eastAsia="Calibri" w:hAnsi="Calibri" w:cs="Times New Roman"/>
      <w:b/>
      <w:bCs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FE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40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940FED"/>
  </w:style>
  <w:style w:type="character" w:styleId="Strong">
    <w:name w:val="Strong"/>
    <w:uiPriority w:val="22"/>
    <w:qFormat/>
    <w:rsid w:val="00940FED"/>
    <w:rPr>
      <w:b/>
      <w:bCs/>
    </w:rPr>
  </w:style>
  <w:style w:type="character" w:customStyle="1" w:styleId="website">
    <w:name w:val="website"/>
    <w:rsid w:val="00940F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40FED"/>
    <w:pPr>
      <w:tabs>
        <w:tab w:val="center" w:pos="4703"/>
        <w:tab w:val="right" w:pos="94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40FED"/>
    <w:rPr>
      <w:rFonts w:ascii="Calibri" w:eastAsia="Calibri" w:hAnsi="Calibri" w:cs="Times New Roman"/>
    </w:rPr>
  </w:style>
  <w:style w:type="paragraph" w:customStyle="1" w:styleId="TableOutline3">
    <w:name w:val="Table Outline 3"/>
    <w:basedOn w:val="Normal"/>
    <w:uiPriority w:val="99"/>
    <w:rsid w:val="00940FED"/>
    <w:pPr>
      <w:tabs>
        <w:tab w:val="num" w:pos="643"/>
      </w:tabs>
      <w:ind w:left="643" w:hanging="360"/>
      <w:jc w:val="both"/>
    </w:pPr>
    <w:rPr>
      <w:rFonts w:ascii="Verdana" w:eastAsia="Times New Roman" w:hAnsi="Verdana" w:cs="Times New Roman"/>
      <w:sz w:val="16"/>
      <w:lang w:eastAsia="bg-BG"/>
    </w:rPr>
  </w:style>
  <w:style w:type="character" w:customStyle="1" w:styleId="ListParagraphChar">
    <w:name w:val="List Paragraph Char"/>
    <w:link w:val="ListParagraph"/>
    <w:uiPriority w:val="34"/>
    <w:qFormat/>
    <w:rsid w:val="00940FED"/>
  </w:style>
  <w:style w:type="character" w:customStyle="1" w:styleId="tlid-translation">
    <w:name w:val="tlid-translation"/>
    <w:rsid w:val="00940FED"/>
  </w:style>
  <w:style w:type="paragraph" w:customStyle="1" w:styleId="a">
    <w:name w:val="Таблица"/>
    <w:basedOn w:val="Normal"/>
    <w:link w:val="Char"/>
    <w:qFormat/>
    <w:rsid w:val="00940FED"/>
    <w:pPr>
      <w:spacing w:before="120" w:after="0" w:line="240" w:lineRule="auto"/>
      <w:jc w:val="both"/>
    </w:pPr>
    <w:rPr>
      <w:rFonts w:ascii="Arial Narrow" w:eastAsia="Times New Roman" w:hAnsi="Arial Narrow" w:cs="Segoe UI"/>
      <w:color w:val="000000"/>
      <w:sz w:val="20"/>
      <w:szCs w:val="20"/>
    </w:rPr>
  </w:style>
  <w:style w:type="character" w:customStyle="1" w:styleId="Char">
    <w:name w:val="Таблица Char"/>
    <w:link w:val="a"/>
    <w:rsid w:val="00940FED"/>
    <w:rPr>
      <w:rFonts w:ascii="Arial Narrow" w:eastAsia="Times New Roman" w:hAnsi="Arial Narrow" w:cs="Segoe UI"/>
      <w:color w:val="000000"/>
      <w:sz w:val="20"/>
      <w:szCs w:val="20"/>
    </w:rPr>
  </w:style>
  <w:style w:type="character" w:customStyle="1" w:styleId="skunamecart">
    <w:name w:val="skunamecart"/>
    <w:basedOn w:val="DefaultParagraphFont"/>
    <w:rsid w:val="00737BB4"/>
  </w:style>
  <w:style w:type="paragraph" w:styleId="NormalWeb">
    <w:name w:val="Normal (Web)"/>
    <w:basedOn w:val="Normal"/>
    <w:uiPriority w:val="99"/>
    <w:unhideWhenUsed/>
    <w:rsid w:val="005E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5E2357"/>
    <w:rPr>
      <w:i/>
      <w:iCs/>
      <w:lang w:val="bg-BG"/>
    </w:rPr>
  </w:style>
  <w:style w:type="paragraph" w:styleId="NoSpacing">
    <w:name w:val="No Spacing"/>
    <w:uiPriority w:val="1"/>
    <w:qFormat/>
    <w:rsid w:val="008A288A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B23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2019-11-06T15:39:00Z</dcterms:created>
  <dcterms:modified xsi:type="dcterms:W3CDTF">2019-11-19T13:54:00Z</dcterms:modified>
</cp:coreProperties>
</file>